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F6" w:rsidRDefault="00C572F6">
      <w:bookmarkStart w:id="0" w:name="_Toc455564764"/>
    </w:p>
    <w:tbl>
      <w:tblPr>
        <w:tblW w:w="9454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25"/>
        <w:gridCol w:w="8531"/>
      </w:tblGrid>
      <w:tr w:rsidR="00C572F6" w:rsidTr="00BC1722">
        <w:trPr>
          <w:trHeight w:val="392"/>
        </w:trPr>
        <w:tc>
          <w:tcPr>
            <w:tcW w:w="94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bookmarkEnd w:id="0"/>
          <w:p w:rsidR="00C572F6" w:rsidRPr="00BC1722" w:rsidRDefault="00BC1722">
            <w:pPr>
              <w:pStyle w:val="1"/>
              <w:rPr>
                <w:rFonts w:ascii="宋体"/>
                <w:sz w:val="18"/>
                <w:szCs w:val="18"/>
              </w:rPr>
            </w:pPr>
            <w:r w:rsidRPr="00BC1722">
              <w:rPr>
                <w:rFonts w:ascii="宋体"/>
                <w:sz w:val="18"/>
                <w:szCs w:val="18"/>
              </w:rPr>
              <w:t xml:space="preserve">4M  </w:t>
            </w:r>
            <w:r w:rsidRPr="00BC1722">
              <w:rPr>
                <w:rFonts w:ascii="宋体"/>
                <w:sz w:val="18"/>
                <w:szCs w:val="18"/>
              </w:rPr>
              <w:t>CT/MR</w:t>
            </w:r>
            <w:r w:rsidRPr="00BC1722">
              <w:rPr>
                <w:rFonts w:ascii="宋体" w:cs="宋体" w:hint="eastAsia"/>
                <w:sz w:val="18"/>
                <w:szCs w:val="18"/>
              </w:rPr>
              <w:t>专用屏</w:t>
            </w:r>
            <w:r w:rsidRPr="00BC1722">
              <w:rPr>
                <w:rFonts w:ascii="宋体" w:cs="宋体"/>
                <w:sz w:val="18"/>
                <w:szCs w:val="18"/>
              </w:rPr>
              <w:t xml:space="preserve">  </w:t>
            </w:r>
            <w:r w:rsidRPr="00BC1722">
              <w:rPr>
                <w:rFonts w:ascii="宋体" w:cs="宋体" w:hint="eastAsia"/>
                <w:sz w:val="18"/>
                <w:szCs w:val="18"/>
              </w:rPr>
              <w:t>5</w:t>
            </w:r>
            <w:r w:rsidRPr="00BC1722">
              <w:rPr>
                <w:rFonts w:ascii="宋体" w:cs="宋体"/>
                <w:sz w:val="18"/>
                <w:szCs w:val="18"/>
              </w:rPr>
              <w:t>台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知名品牌专业显示器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显示器完全符合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dicom3.14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标准，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Ins-guard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系统完成自动校正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,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并提供相关专利证明</w:t>
            </w:r>
            <w:r>
              <w:rPr>
                <w:rFonts w:ascii="宋体" w:cs="宋体"/>
                <w:kern w:val="0"/>
                <w:sz w:val="18"/>
                <w:szCs w:val="18"/>
              </w:rPr>
              <w:t>文件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；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分辨率</w:t>
            </w:r>
            <w:r>
              <w:rPr>
                <w:rFonts w:ascii="宋体" w:cs="Arial"/>
                <w:sz w:val="18"/>
                <w:szCs w:val="18"/>
              </w:rPr>
              <w:t>=2560</w:t>
            </w:r>
            <w:r>
              <w:rPr>
                <w:rFonts w:ascii="宋体" w:cs="Arial"/>
                <w:kern w:val="0"/>
                <w:sz w:val="18"/>
                <w:szCs w:val="18"/>
              </w:rPr>
              <w:t xml:space="preserve"> x </w:t>
            </w:r>
            <w:r>
              <w:rPr>
                <w:rFonts w:ascii="宋体" w:cs="Arial"/>
                <w:sz w:val="18"/>
                <w:szCs w:val="18"/>
              </w:rPr>
              <w:t>1440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点距≦</w:t>
            </w:r>
            <w:r>
              <w:rPr>
                <w:rFonts w:ascii="宋体" w:cs="Arial"/>
                <w:sz w:val="18"/>
                <w:szCs w:val="18"/>
              </w:rPr>
              <w:t>0.2331 x 0.2331 mm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显示器采用新型</w:t>
            </w:r>
            <w:r>
              <w:rPr>
                <w:rFonts w:ascii="宋体" w:cs="Arial"/>
                <w:sz w:val="18"/>
                <w:szCs w:val="18"/>
              </w:rPr>
              <w:t>LED</w:t>
            </w:r>
            <w:r>
              <w:rPr>
                <w:rFonts w:ascii="宋体" w:cs="宋体" w:hint="eastAsia"/>
                <w:sz w:val="18"/>
                <w:szCs w:val="18"/>
              </w:rPr>
              <w:t>背光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尺寸≧</w:t>
            </w:r>
            <w:r>
              <w:rPr>
                <w:rFonts w:ascii="宋体" w:cs="Arial"/>
                <w:sz w:val="18"/>
                <w:szCs w:val="18"/>
              </w:rPr>
              <w:t>27</w:t>
            </w:r>
            <w:r>
              <w:rPr>
                <w:rFonts w:ascii="宋体" w:cs="宋体" w:hint="eastAsia"/>
                <w:sz w:val="18"/>
                <w:szCs w:val="18"/>
              </w:rPr>
              <w:t>英寸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显示器内置多个亮度条件下的</w:t>
            </w:r>
            <w:proofErr w:type="spellStart"/>
            <w:r>
              <w:rPr>
                <w:rFonts w:ascii="宋体" w:cs="Arial"/>
                <w:sz w:val="18"/>
                <w:szCs w:val="18"/>
              </w:rPr>
              <w:t>dicom</w:t>
            </w:r>
            <w:proofErr w:type="spellEnd"/>
            <w:r>
              <w:rPr>
                <w:rFonts w:ascii="宋体" w:cs="宋体" w:hint="eastAsia"/>
                <w:sz w:val="18"/>
                <w:szCs w:val="18"/>
              </w:rPr>
              <w:t>校正曲线</w:t>
            </w:r>
            <w:r>
              <w:rPr>
                <w:rFonts w:ascii="宋体" w:cs="Arial"/>
                <w:sz w:val="18"/>
                <w:szCs w:val="18"/>
              </w:rPr>
              <w:t>350/300/250/200cd/</w:t>
            </w:r>
            <w:r>
              <w:rPr>
                <w:rFonts w:ascii="宋体" w:cs="宋体" w:hint="eastAsia"/>
                <w:sz w:val="18"/>
                <w:szCs w:val="18"/>
              </w:rPr>
              <w:t>㎡</w:t>
            </w:r>
            <w:r>
              <w:rPr>
                <w:rFonts w:ascii="宋体" w:cs="Arial"/>
                <w:sz w:val="18"/>
                <w:szCs w:val="18"/>
              </w:rPr>
              <w:t>,</w:t>
            </w:r>
            <w:r>
              <w:rPr>
                <w:rFonts w:ascii="宋体" w:cs="宋体" w:hint="eastAsia"/>
                <w:sz w:val="18"/>
                <w:szCs w:val="18"/>
              </w:rPr>
              <w:t>另外内置</w:t>
            </w:r>
            <w:r>
              <w:rPr>
                <w:rFonts w:ascii="宋体" w:cs="宋体" w:hint="eastAsia"/>
                <w:sz w:val="18"/>
                <w:szCs w:val="18"/>
              </w:rPr>
              <w:t>CGA</w:t>
            </w:r>
            <w:r>
              <w:rPr>
                <w:rFonts w:ascii="宋体" w:cs="宋体" w:hint="eastAsia"/>
                <w:sz w:val="18"/>
                <w:szCs w:val="18"/>
              </w:rPr>
              <w:t>、</w:t>
            </w:r>
            <w:r>
              <w:rPr>
                <w:rFonts w:ascii="宋体" w:cs="Arial"/>
                <w:sz w:val="18"/>
                <w:szCs w:val="18"/>
              </w:rPr>
              <w:t>DSA</w:t>
            </w:r>
            <w:r>
              <w:rPr>
                <w:rFonts w:ascii="宋体" w:cs="宋体" w:hint="eastAsia"/>
                <w:sz w:val="18"/>
                <w:szCs w:val="18"/>
              </w:rPr>
              <w:t>、</w:t>
            </w:r>
            <w:r>
              <w:rPr>
                <w:rFonts w:ascii="宋体" w:cs="Arial"/>
                <w:sz w:val="18"/>
                <w:szCs w:val="18"/>
              </w:rPr>
              <w:t>DSI</w:t>
            </w:r>
            <w:r>
              <w:rPr>
                <w:rFonts w:ascii="宋体" w:cs="宋体" w:hint="eastAsia"/>
                <w:sz w:val="18"/>
                <w:szCs w:val="18"/>
              </w:rPr>
              <w:t>、</w:t>
            </w:r>
            <w:r>
              <w:rPr>
                <w:rFonts w:ascii="宋体" w:cs="Arial"/>
                <w:sz w:val="18"/>
                <w:szCs w:val="18"/>
              </w:rPr>
              <w:t>CT/MRI</w:t>
            </w:r>
            <w:r>
              <w:rPr>
                <w:rFonts w:ascii="宋体" w:cs="宋体" w:hint="eastAsia"/>
                <w:sz w:val="18"/>
                <w:szCs w:val="18"/>
              </w:rPr>
              <w:t>曲线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两路信号可分别输入，在一个屏上实现双竖屏显示，并</w:t>
            </w:r>
            <w:r>
              <w:rPr>
                <w:rFonts w:ascii="宋体" w:cs="宋体"/>
                <w:sz w:val="18"/>
                <w:szCs w:val="18"/>
              </w:rPr>
              <w:t>提供相关</w:t>
            </w:r>
            <w:r>
              <w:rPr>
                <w:rFonts w:ascii="宋体" w:cs="宋体" w:hint="eastAsia"/>
                <w:sz w:val="18"/>
                <w:szCs w:val="18"/>
              </w:rPr>
              <w:t>专利证明</w:t>
            </w:r>
            <w:r>
              <w:rPr>
                <w:rFonts w:ascii="宋体" w:cs="宋体"/>
                <w:sz w:val="18"/>
                <w:szCs w:val="18"/>
              </w:rPr>
              <w:t>文件；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Arial"/>
                <w:color w:val="FF0000"/>
                <w:sz w:val="18"/>
                <w:szCs w:val="18"/>
              </w:rPr>
              <w:t>彩色</w:t>
            </w:r>
            <w:proofErr w:type="gramStart"/>
            <w:r>
              <w:rPr>
                <w:rFonts w:ascii="宋体" w:cs="Arial"/>
                <w:color w:val="FF0000"/>
                <w:sz w:val="18"/>
                <w:szCs w:val="18"/>
              </w:rPr>
              <w:t>灰阶自适应</w:t>
            </w:r>
            <w:proofErr w:type="gramEnd"/>
            <w:r>
              <w:rPr>
                <w:rFonts w:ascii="宋体" w:cs="Arial"/>
                <w:color w:val="FF0000"/>
                <w:sz w:val="18"/>
                <w:szCs w:val="18"/>
              </w:rPr>
              <w:t>校正专利技术（提供专利证明材料，非简单的软件著作权，提供虚假材料</w:t>
            </w:r>
            <w:proofErr w:type="gramStart"/>
            <w:r>
              <w:rPr>
                <w:rFonts w:ascii="宋体" w:cs="Arial"/>
                <w:color w:val="FF0000"/>
                <w:sz w:val="18"/>
                <w:szCs w:val="18"/>
              </w:rPr>
              <w:t>按废标处理</w:t>
            </w:r>
            <w:proofErr w:type="gramEnd"/>
            <w:r>
              <w:rPr>
                <w:rFonts w:ascii="宋体" w:cs="Arial" w:hint="eastAsia"/>
                <w:color w:val="FF0000"/>
                <w:sz w:val="18"/>
                <w:szCs w:val="18"/>
              </w:rPr>
              <w:t>。</w:t>
            </w:r>
            <w:r>
              <w:rPr>
                <w:rFonts w:ascii="宋体" w:cs="Arial"/>
                <w:color w:val="FF0000"/>
                <w:sz w:val="18"/>
                <w:szCs w:val="18"/>
              </w:rPr>
              <w:t>提供</w:t>
            </w:r>
            <w:r>
              <w:rPr>
                <w:rFonts w:ascii="宋体" w:cs="Arial" w:hint="eastAsia"/>
                <w:color w:val="FF0000"/>
                <w:sz w:val="18"/>
                <w:szCs w:val="18"/>
              </w:rPr>
              <w:t>省级</w:t>
            </w:r>
            <w:r>
              <w:rPr>
                <w:rFonts w:ascii="宋体" w:cs="Arial"/>
                <w:color w:val="FF0000"/>
                <w:sz w:val="18"/>
                <w:szCs w:val="18"/>
              </w:rPr>
              <w:t>或省级</w:t>
            </w:r>
            <w:r>
              <w:rPr>
                <w:rFonts w:ascii="宋体" w:cs="Arial" w:hint="eastAsia"/>
                <w:color w:val="FF0000"/>
                <w:sz w:val="18"/>
                <w:szCs w:val="18"/>
              </w:rPr>
              <w:t>以上</w:t>
            </w:r>
            <w:r>
              <w:rPr>
                <w:rFonts w:ascii="宋体" w:cs="Arial"/>
                <w:color w:val="FF0000"/>
                <w:sz w:val="18"/>
                <w:szCs w:val="18"/>
              </w:rPr>
              <w:t>查新报告）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最大亮度≧</w:t>
            </w:r>
            <w:r>
              <w:rPr>
                <w:rFonts w:ascii="宋体" w:cs="Arial"/>
                <w:sz w:val="18"/>
                <w:szCs w:val="18"/>
              </w:rPr>
              <w:t>400cd/m</w:t>
            </w:r>
            <w:r>
              <w:rPr>
                <w:rFonts w:ascii="宋体" w:cs="宋体" w:hint="eastAsia"/>
                <w:sz w:val="18"/>
                <w:szCs w:val="18"/>
              </w:rPr>
              <w:t>²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对比度≧</w:t>
            </w:r>
            <w:r>
              <w:rPr>
                <w:rFonts w:ascii="宋体" w:cs="Arial"/>
                <w:sz w:val="18"/>
                <w:szCs w:val="18"/>
              </w:rPr>
              <w:t>1000</w:t>
            </w:r>
            <w:r>
              <w:rPr>
                <w:rFonts w:ascii="宋体" w:cs="宋体" w:hint="eastAsia"/>
                <w:sz w:val="18"/>
                <w:szCs w:val="18"/>
              </w:rPr>
              <w:t>：</w:t>
            </w:r>
            <w:r>
              <w:rPr>
                <w:rFonts w:ascii="宋体" w:cs="Arial"/>
                <w:sz w:val="18"/>
                <w:szCs w:val="18"/>
              </w:rPr>
              <w:t>1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调色板≧</w:t>
            </w:r>
            <w:r>
              <w:rPr>
                <w:rFonts w:ascii="宋体" w:cs="宋体"/>
                <w:sz w:val="18"/>
                <w:szCs w:val="18"/>
              </w:rPr>
              <w:t>281.47Trillion Colors(16bit)</w:t>
            </w:r>
            <w:r>
              <w:rPr>
                <w:rFonts w:ascii="宋体" w:cs="宋体" w:hint="eastAsia"/>
                <w:sz w:val="18"/>
                <w:szCs w:val="18"/>
              </w:rPr>
              <w:t>，</w:t>
            </w:r>
            <w:r>
              <w:rPr>
                <w:rFonts w:ascii="宋体" w:cs="宋体"/>
                <w:sz w:val="18"/>
                <w:szCs w:val="18"/>
              </w:rPr>
              <w:t>提供相关专利证明</w:t>
            </w:r>
            <w:r>
              <w:rPr>
                <w:rFonts w:ascii="宋体" w:cs="宋体" w:hint="eastAsia"/>
                <w:sz w:val="18"/>
                <w:szCs w:val="18"/>
              </w:rPr>
              <w:t>文件</w:t>
            </w:r>
            <w:r>
              <w:rPr>
                <w:rFonts w:ascii="宋体" w:cs="宋体"/>
                <w:sz w:val="18"/>
                <w:szCs w:val="18"/>
              </w:rPr>
              <w:t>；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响应时间≦</w:t>
            </w:r>
            <w:r>
              <w:rPr>
                <w:rFonts w:ascii="宋体" w:cs="Arial"/>
                <w:sz w:val="18"/>
                <w:szCs w:val="18"/>
              </w:rPr>
              <w:t>6ms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可视角度≧</w:t>
            </w:r>
            <w:r>
              <w:rPr>
                <w:rFonts w:ascii="宋体" w:cs="Arial"/>
                <w:sz w:val="18"/>
                <w:szCs w:val="18"/>
              </w:rPr>
              <w:t>178</w:t>
            </w:r>
            <w:r>
              <w:rPr>
                <w:rFonts w:ascii="宋体" w:cs="宋体" w:hint="eastAsia"/>
                <w:sz w:val="18"/>
                <w:szCs w:val="18"/>
              </w:rPr>
              <w:t>°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外置医疗级电源模块，须提供所供医疗电源的</w:t>
            </w:r>
            <w:r>
              <w:rPr>
                <w:rFonts w:ascii="宋体" w:cs="Arial"/>
                <w:sz w:val="18"/>
                <w:szCs w:val="18"/>
              </w:rPr>
              <w:t>UL60601-1</w:t>
            </w:r>
            <w:r>
              <w:rPr>
                <w:rFonts w:ascii="宋体" w:cs="宋体" w:hint="eastAsia"/>
                <w:sz w:val="18"/>
                <w:szCs w:val="18"/>
              </w:rPr>
              <w:t>证书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端口：</w:t>
            </w:r>
            <w:r>
              <w:rPr>
                <w:rFonts w:ascii="宋体" w:cs="Arial"/>
                <w:color w:val="000000"/>
                <w:kern w:val="0"/>
                <w:sz w:val="18"/>
                <w:szCs w:val="18"/>
              </w:rPr>
              <w:t>DVI-D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×</w:t>
            </w:r>
            <w:r>
              <w:rPr>
                <w:rFonts w:ascii="宋体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cs="Arial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Arial" w:hint="eastAsia"/>
                <w:color w:val="000000"/>
                <w:kern w:val="0"/>
                <w:sz w:val="18"/>
                <w:szCs w:val="18"/>
              </w:rPr>
              <w:t>DP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×</w:t>
            </w:r>
            <w:r>
              <w:rPr>
                <w:rFonts w:ascii="宋体" w:cs="Arial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支持</w:t>
            </w:r>
            <w:r>
              <w:rPr>
                <w:rFonts w:ascii="宋体" w:cs="Arial"/>
                <w:sz w:val="18"/>
                <w:szCs w:val="18"/>
              </w:rPr>
              <w:t>DPMS</w:t>
            </w:r>
            <w:r>
              <w:rPr>
                <w:rFonts w:ascii="宋体" w:cs="宋体" w:hint="eastAsia"/>
                <w:sz w:val="18"/>
                <w:szCs w:val="18"/>
              </w:rPr>
              <w:t>节电特性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/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widowControl/>
              <w:rPr>
                <w:rFonts w:asci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宋体" w:cs="宋体"/>
                <w:kern w:val="0"/>
                <w:sz w:val="18"/>
                <w:szCs w:val="18"/>
              </w:rPr>
              <w:t>实时监测与调控系统，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检测实时背光</w:t>
            </w:r>
            <w:r>
              <w:rPr>
                <w:rFonts w:ascii="宋体" w:cs="宋体"/>
                <w:kern w:val="0"/>
                <w:sz w:val="18"/>
                <w:szCs w:val="18"/>
              </w:rPr>
              <w:t>温度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并且</w:t>
            </w:r>
            <w:r>
              <w:rPr>
                <w:rFonts w:ascii="宋体" w:cs="宋体"/>
                <w:kern w:val="0"/>
                <w:sz w:val="18"/>
                <w:szCs w:val="18"/>
              </w:rPr>
              <w:t>根据不同温度下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背光</w:t>
            </w:r>
            <w:r>
              <w:rPr>
                <w:rFonts w:ascii="宋体" w:cs="宋体"/>
                <w:kern w:val="0"/>
                <w:sz w:val="18"/>
                <w:szCs w:val="18"/>
              </w:rPr>
              <w:t>的发光效率对</w:t>
            </w:r>
            <w:r>
              <w:rPr>
                <w:rFonts w:ascii="宋体" w:cs="宋体"/>
                <w:kern w:val="0"/>
                <w:sz w:val="18"/>
                <w:szCs w:val="18"/>
              </w:rPr>
              <w:t>DICOM</w:t>
            </w:r>
            <w:r>
              <w:rPr>
                <w:rFonts w:ascii="宋体" w:cs="宋体"/>
                <w:kern w:val="0"/>
                <w:sz w:val="18"/>
                <w:szCs w:val="18"/>
              </w:rPr>
              <w:t>进行精确校正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金属外壳，强度大、散热快、抗干扰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提供双头</w:t>
            </w:r>
            <w:proofErr w:type="spellStart"/>
            <w:r>
              <w:rPr>
                <w:rFonts w:ascii="宋体" w:cs="Arial"/>
                <w:sz w:val="18"/>
                <w:szCs w:val="18"/>
              </w:rPr>
              <w:t>PCIe</w:t>
            </w:r>
            <w:proofErr w:type="spellEnd"/>
            <w:r>
              <w:rPr>
                <w:rFonts w:ascii="宋体" w:cs="宋体" w:hint="eastAsia"/>
                <w:sz w:val="18"/>
                <w:szCs w:val="18"/>
              </w:rPr>
              <w:t>接口专业显卡，显卡内存≧</w:t>
            </w:r>
            <w:r>
              <w:rPr>
                <w:rFonts w:ascii="宋体" w:cs="Arial"/>
                <w:sz w:val="18"/>
                <w:szCs w:val="18"/>
              </w:rPr>
              <w:t>1G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360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360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360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color w:val="FF0000"/>
                <w:sz w:val="18"/>
                <w:szCs w:val="18"/>
              </w:rPr>
              <w:t>国内市场占有率≥</w:t>
            </w:r>
            <w:r>
              <w:rPr>
                <w:rFonts w:ascii="宋体" w:cs="宋体"/>
                <w:color w:val="FF0000"/>
                <w:sz w:val="18"/>
                <w:szCs w:val="18"/>
              </w:rPr>
              <w:t>2</w:t>
            </w:r>
            <w:r>
              <w:rPr>
                <w:rFonts w:ascii="宋体" w:cs="宋体" w:hint="eastAsia"/>
                <w:color w:val="FF0000"/>
                <w:sz w:val="18"/>
                <w:szCs w:val="18"/>
              </w:rPr>
              <w:t>5%</w:t>
            </w:r>
            <w:r>
              <w:rPr>
                <w:rFonts w:ascii="宋体" w:cs="宋体" w:hint="eastAsia"/>
                <w:sz w:val="18"/>
                <w:szCs w:val="18"/>
              </w:rPr>
              <w:t>（须提供不少于两份第三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方咨询</w:t>
            </w:r>
            <w:proofErr w:type="gramEnd"/>
            <w:r>
              <w:rPr>
                <w:rFonts w:ascii="宋体" w:cs="宋体" w:hint="eastAsia"/>
                <w:sz w:val="18"/>
                <w:szCs w:val="18"/>
              </w:rPr>
              <w:t>机构公开发表的统计数据，虚假信息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按废标处理</w:t>
            </w:r>
            <w:proofErr w:type="gramEnd"/>
            <w:r>
              <w:rPr>
                <w:rFonts w:ascii="宋体" w:cs="宋体" w:hint="eastAsia"/>
                <w:sz w:val="18"/>
                <w:szCs w:val="18"/>
              </w:rPr>
              <w:t>）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360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360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360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color w:val="FF0000"/>
                <w:sz w:val="18"/>
                <w:szCs w:val="18"/>
              </w:rPr>
              <w:t>提供</w:t>
            </w:r>
            <w:r>
              <w:rPr>
                <w:rFonts w:ascii="宋体" w:cs="宋体"/>
                <w:color w:val="FF0000"/>
                <w:sz w:val="18"/>
                <w:szCs w:val="18"/>
              </w:rPr>
              <w:t>安徽</w:t>
            </w:r>
            <w:r>
              <w:rPr>
                <w:rFonts w:ascii="宋体" w:cs="宋体"/>
                <w:color w:val="FF0000"/>
                <w:sz w:val="18"/>
                <w:szCs w:val="18"/>
              </w:rPr>
              <w:t>200</w:t>
            </w:r>
            <w:r>
              <w:rPr>
                <w:rFonts w:ascii="宋体" w:cs="宋体" w:hint="eastAsia"/>
                <w:color w:val="FF0000"/>
                <w:sz w:val="18"/>
                <w:szCs w:val="18"/>
              </w:rPr>
              <w:t>家以上</w:t>
            </w:r>
            <w:r>
              <w:rPr>
                <w:rFonts w:ascii="宋体" w:cs="宋体" w:hint="eastAsia"/>
                <w:sz w:val="18"/>
                <w:szCs w:val="18"/>
              </w:rPr>
              <w:t>终端使用医院名单（虚假信息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按废标处理</w:t>
            </w:r>
            <w:proofErr w:type="gramEnd"/>
            <w:r>
              <w:rPr>
                <w:rFonts w:ascii="宋体" w:cs="宋体" w:hint="eastAsia"/>
                <w:sz w:val="18"/>
                <w:szCs w:val="18"/>
              </w:rPr>
              <w:t>）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保修由显示器制造商提供，原厂保修期三年，所有维修均在国内完成，出具制造商保修证明原件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显示器制造商需持有与显示器制造相关的专利</w:t>
            </w:r>
            <w:r>
              <w:rPr>
                <w:rFonts w:ascii="宋体" w:cs="宋体"/>
                <w:sz w:val="18"/>
                <w:szCs w:val="18"/>
              </w:rPr>
              <w:t>5</w:t>
            </w:r>
            <w:r>
              <w:rPr>
                <w:rFonts w:ascii="宋体" w:cs="宋体" w:hint="eastAsia"/>
                <w:sz w:val="18"/>
                <w:szCs w:val="18"/>
              </w:rPr>
              <w:t>0</w:t>
            </w:r>
            <w:r>
              <w:rPr>
                <w:rFonts w:ascii="宋体" w:cs="宋体" w:hint="eastAsia"/>
                <w:sz w:val="18"/>
                <w:szCs w:val="18"/>
              </w:rPr>
              <w:t>项及以上（需提供专利证书或专利受理证书）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numPr>
                <w:ilvl w:val="0"/>
                <w:numId w:val="1"/>
              </w:num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★</w:t>
            </w: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显示器制造商具备良好的流程和品质管理，完全取得</w:t>
            </w:r>
            <w:r>
              <w:rPr>
                <w:rFonts w:ascii="宋体" w:cs="宋体"/>
                <w:kern w:val="0"/>
                <w:sz w:val="18"/>
                <w:szCs w:val="18"/>
              </w:rPr>
              <w:t>IS09001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ISO13485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ISO14001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SGS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CCC</w:t>
            </w:r>
            <w:r>
              <w:rPr>
                <w:rFonts w:asci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cs="宋体"/>
                <w:kern w:val="0"/>
                <w:sz w:val="18"/>
                <w:szCs w:val="18"/>
              </w:rPr>
              <w:t>FDA</w:t>
            </w:r>
            <w:r>
              <w:rPr>
                <w:rFonts w:ascii="宋体" w:cs="宋体"/>
                <w:kern w:val="0"/>
                <w:sz w:val="18"/>
                <w:szCs w:val="18"/>
              </w:rPr>
              <w:t>认证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ind w:left="420" w:hanging="420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Arial"/>
                <w:sz w:val="18"/>
                <w:szCs w:val="18"/>
              </w:rPr>
              <w:t>25.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操作环境：</w:t>
            </w:r>
            <w:r>
              <w:rPr>
                <w:rFonts w:ascii="宋体" w:cs="宋体" w:hint="eastAsia"/>
                <w:sz w:val="18"/>
                <w:szCs w:val="18"/>
              </w:rPr>
              <w:t>温度</w:t>
            </w:r>
            <w:r>
              <w:rPr>
                <w:rFonts w:ascii="宋体" w:cs="Arial"/>
                <w:sz w:val="18"/>
                <w:szCs w:val="18"/>
              </w:rPr>
              <w:t>: 0</w:t>
            </w:r>
            <w:r>
              <w:rPr>
                <w:rFonts w:ascii="宋体" w:cs="Arial"/>
                <w:sz w:val="18"/>
                <w:szCs w:val="18"/>
              </w:rPr>
              <w:t>°</w:t>
            </w:r>
            <w:r>
              <w:rPr>
                <w:rFonts w:ascii="宋体" w:cs="Arial"/>
                <w:sz w:val="18"/>
                <w:szCs w:val="18"/>
              </w:rPr>
              <w:t>C - 40</w:t>
            </w:r>
            <w:r>
              <w:rPr>
                <w:rFonts w:ascii="宋体" w:cs="Arial"/>
                <w:sz w:val="18"/>
                <w:szCs w:val="18"/>
              </w:rPr>
              <w:t>°</w:t>
            </w:r>
            <w:r>
              <w:rPr>
                <w:rFonts w:ascii="宋体" w:cs="Arial"/>
                <w:sz w:val="18"/>
                <w:szCs w:val="18"/>
              </w:rPr>
              <w:t>C</w:t>
            </w:r>
          </w:p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湿度</w:t>
            </w:r>
            <w:r>
              <w:rPr>
                <w:rFonts w:ascii="宋体" w:cs="Arial"/>
                <w:sz w:val="18"/>
                <w:szCs w:val="18"/>
              </w:rPr>
              <w:t xml:space="preserve">: 30% - 80% </w:t>
            </w:r>
            <w:r>
              <w:rPr>
                <w:rFonts w:ascii="宋体" w:cs="宋体" w:hint="eastAsia"/>
                <w:sz w:val="18"/>
                <w:szCs w:val="18"/>
              </w:rPr>
              <w:t>无冷凝</w:t>
            </w:r>
          </w:p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气压</w:t>
            </w:r>
            <w:r>
              <w:rPr>
                <w:rFonts w:ascii="宋体" w:cs="Arial"/>
                <w:sz w:val="18"/>
                <w:szCs w:val="18"/>
              </w:rPr>
              <w:t>: 700hPa~1060hPa</w:t>
            </w:r>
          </w:p>
        </w:tc>
      </w:tr>
      <w:tr w:rsidR="00C572F6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ind w:left="420" w:hanging="420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Arial"/>
                <w:sz w:val="18"/>
                <w:szCs w:val="18"/>
              </w:rPr>
              <w:t>26.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C572F6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储运环境：</w:t>
            </w:r>
            <w:r>
              <w:rPr>
                <w:rFonts w:ascii="宋体" w:cs="宋体" w:hint="eastAsia"/>
                <w:sz w:val="18"/>
                <w:szCs w:val="18"/>
              </w:rPr>
              <w:t>温度</w:t>
            </w:r>
            <w:r>
              <w:rPr>
                <w:rFonts w:ascii="宋体" w:cs="Arial"/>
                <w:sz w:val="18"/>
                <w:szCs w:val="18"/>
              </w:rPr>
              <w:t>: -20</w:t>
            </w:r>
            <w:r>
              <w:rPr>
                <w:rFonts w:ascii="宋体" w:cs="Arial"/>
                <w:sz w:val="18"/>
                <w:szCs w:val="18"/>
              </w:rPr>
              <w:t>°</w:t>
            </w:r>
            <w:r>
              <w:rPr>
                <w:rFonts w:ascii="宋体" w:cs="Arial"/>
                <w:sz w:val="18"/>
                <w:szCs w:val="18"/>
              </w:rPr>
              <w:t>C - 60</w:t>
            </w:r>
            <w:r>
              <w:rPr>
                <w:rFonts w:ascii="宋体" w:cs="Arial"/>
                <w:sz w:val="18"/>
                <w:szCs w:val="18"/>
              </w:rPr>
              <w:t>°</w:t>
            </w:r>
            <w:r>
              <w:rPr>
                <w:rFonts w:ascii="宋体" w:cs="Arial"/>
                <w:sz w:val="18"/>
                <w:szCs w:val="18"/>
              </w:rPr>
              <w:t>C</w:t>
            </w:r>
          </w:p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湿度</w:t>
            </w:r>
            <w:r>
              <w:rPr>
                <w:rFonts w:ascii="宋体" w:cs="Arial"/>
                <w:sz w:val="18"/>
                <w:szCs w:val="18"/>
              </w:rPr>
              <w:t>: 15% - 80%</w:t>
            </w:r>
            <w:bookmarkStart w:id="1" w:name="_GoBack"/>
            <w:bookmarkEnd w:id="1"/>
          </w:p>
          <w:p w:rsidR="00C572F6" w:rsidRDefault="00BC1722">
            <w:pPr>
              <w:spacing w:line="276" w:lineRule="auto"/>
              <w:rPr>
                <w:rFonts w:ascii="宋体" w:cs="Arial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气压</w:t>
            </w:r>
            <w:r>
              <w:rPr>
                <w:rFonts w:ascii="宋体" w:cs="Arial"/>
                <w:sz w:val="18"/>
                <w:szCs w:val="18"/>
              </w:rPr>
              <w:t>: 200hPa~1060hPa</w:t>
            </w:r>
          </w:p>
        </w:tc>
      </w:tr>
    </w:tbl>
    <w:p w:rsidR="00C572F6" w:rsidRDefault="00C572F6"/>
    <w:sectPr w:rsidR="00C572F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27B9"/>
    <w:multiLevelType w:val="multilevel"/>
    <w:tmpl w:val="05B227B9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172A27"/>
    <w:rsid w:val="00BC1722"/>
    <w:rsid w:val="00C572F6"/>
    <w:rsid w:val="0FF5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Default Paragraph Font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pPr>
      <w:keepNext/>
      <w:keepLines/>
      <w:spacing w:line="578" w:lineRule="auto"/>
      <w:outlineLvl w:val="0"/>
    </w:pPr>
    <w:rPr>
      <w:b/>
      <w:bCs/>
      <w:kern w:val="4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830</Characters>
  <Application>Microsoft Office Word</Application>
  <DocSecurity>0</DocSecurity>
  <Lines>6</Lines>
  <Paragraphs>1</Paragraphs>
  <ScaleCrop>false</ScaleCrop>
  <Company>微软中国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医用显示器采购报告</dc:title>
  <dc:creator>hanxiaodan</dc:creator>
  <cp:lastModifiedBy>gyb1</cp:lastModifiedBy>
  <cp:revision>1</cp:revision>
  <dcterms:created xsi:type="dcterms:W3CDTF">2016-10-18T01:10:00Z</dcterms:created>
  <dcterms:modified xsi:type="dcterms:W3CDTF">2016-10-28T01:41:00Z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