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附件2：</w:t>
      </w:r>
    </w:p>
    <w:p>
      <w:pPr>
        <w:snapToGrid w:val="0"/>
        <w:spacing w:line="360" w:lineRule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1.采购清单</w:t>
      </w:r>
    </w:p>
    <w:tbl>
      <w:tblPr>
        <w:tblStyle w:val="5"/>
        <w:tblW w:w="96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367"/>
        <w:gridCol w:w="1791"/>
        <w:gridCol w:w="760"/>
        <w:gridCol w:w="915"/>
        <w:gridCol w:w="37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3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  <w:jc w:val="center"/>
        </w:trPr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地下</w:t>
            </w:r>
            <w:r>
              <w:rPr>
                <w:rFonts w:hint="eastAsia"/>
              </w:rPr>
              <w:t>污水提升一体化设备</w:t>
            </w:r>
          </w:p>
        </w:tc>
        <w:tc>
          <w:tcPr>
            <w:tcW w:w="1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PT-10-15-1.5/2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val="en-US" w:eastAsia="zh-CN"/>
              </w:rPr>
              <w:t>50WQ15-15-1.5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Q=10m3/h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H=15m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N=1.5KW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3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1.水箱采用304不锈钢材质平板焊接而成，箱壁、箱底板厚度2mm，箱盖板厚度1.5mm方便提起，箱盖含有提手和搭扣，便于检查维护。</w:t>
            </w:r>
          </w:p>
          <w:p>
            <w:pPr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eastAsia="zh-CN"/>
              </w:rPr>
              <w:t>外形尺寸：</w:t>
            </w:r>
            <w:r>
              <w:rPr>
                <w:rFonts w:hint="eastAsia"/>
                <w:highlight w:val="none"/>
              </w:rPr>
              <w:t>825×650×750mm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3.双泵内置式，一用一备。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4.运行水泵功率</w:t>
            </w:r>
            <w:r>
              <w:rPr>
                <w:rFonts w:hint="eastAsia"/>
                <w:lang w:val="en-US" w:eastAsia="zh-CN"/>
              </w:rPr>
              <w:t>1.5</w:t>
            </w:r>
            <w:r>
              <w:rPr>
                <w:rFonts w:hint="eastAsia"/>
              </w:rPr>
              <w:t>kw</w:t>
            </w:r>
            <w:r>
              <w:rPr>
                <w:rFonts w:hint="eastAsia"/>
                <w:lang w:val="en-US" w:eastAsia="zh-CN"/>
              </w:rPr>
              <w:t>/台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共</w:t>
            </w:r>
            <w:r>
              <w:rPr>
                <w:rFonts w:hint="eastAsia"/>
              </w:rPr>
              <w:t>两台）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不堵塞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无污染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无沉淀免清掏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防腐性较好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b/>
          <w:sz w:val="28"/>
          <w:szCs w:val="28"/>
        </w:rPr>
        <w:t>技术要求</w:t>
      </w:r>
    </w:p>
    <w:tbl>
      <w:tblPr>
        <w:tblStyle w:val="5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84"/>
        <w:gridCol w:w="7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性能参数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Q=</w:t>
            </w:r>
            <w:r>
              <w:rPr>
                <w:rFonts w:hint="eastAsia"/>
                <w:lang w:val="en-US" w:eastAsia="zh-CN"/>
              </w:rPr>
              <w:t>10m3/h</w:t>
            </w:r>
            <w:r>
              <w:rPr>
                <w:rFonts w:hint="eastAsia"/>
              </w:rPr>
              <w:t>，H=15m，N=</w:t>
            </w:r>
            <w:r>
              <w:rPr>
                <w:rFonts w:hint="eastAsia"/>
                <w:lang w:val="en-US" w:eastAsia="zh-CN"/>
              </w:rPr>
              <w:t>1.5KW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整体构造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一体化设备，地下负一层坑内安装，水箱采用304不锈钢材质平板焊接而成。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污物排放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水箱采用全密封的活动顶盖设计，污水在密封状态下储存与排放，不外溢、无臭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清洁水箱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确保水箱内自动保持清洁，无沉积物沉积，避免日常清掏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环境影响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全封闭、污物随进随排，臭气不外泄，无环境污染。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控制系统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智能控制箱内主要元器件为德力西品牌，水泵、浮球电缆线长度标配为6米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控制</w:t>
            </w:r>
            <w:r>
              <w:rPr>
                <w:rFonts w:hint="eastAsia"/>
                <w:lang w:eastAsia="zh-CN"/>
              </w:rPr>
              <w:t>方式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采用液位浮球自动控制，设有超限水位声光报警功能，手/自动操作功能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日常维修和保养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无需人工清理杂物，维修简单方便。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售后服务</w:t>
            </w:r>
          </w:p>
        </w:tc>
        <w:tc>
          <w:tcPr>
            <w:tcW w:w="7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调试培训、售后服务及时。</w:t>
            </w:r>
            <w:bookmarkStart w:id="0" w:name="_GoBack"/>
            <w:bookmarkEnd w:id="0"/>
          </w:p>
        </w:tc>
      </w:tr>
    </w:tbl>
    <w:p>
      <w:pPr>
        <w:pStyle w:val="3"/>
        <w:outlineLvl w:val="0"/>
        <w:rPr>
          <w:rFonts w:hint="default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A65CC"/>
    <w:rsid w:val="360A65CC"/>
    <w:rsid w:val="46D5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left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2020-11-16T07:24:00Z</dcterms:created>
  <dc:creator>NTKO</dc:creator>
  <cp:lastModifiedBy>NTKO</cp:lastModifiedBy>
  <dcterms:modified xsi:type="dcterms:W3CDTF">2020-11-16T07:32:15Z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