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附件</w:t>
      </w:r>
    </w:p>
    <w:p>
      <w:pPr>
        <w:pStyle w:val="5"/>
        <w:jc w:val="center"/>
        <w:rPr>
          <w:rFonts w:hint="eastAsia" w:asciiTheme="majorEastAsia" w:hAnsiTheme="majorEastAsia" w:eastAsiaTheme="majorEastAsia" w:cstheme="majorEastAsia"/>
          <w:sz w:val="52"/>
          <w:szCs w:val="52"/>
          <w:lang w:val="en-US" w:eastAsia="zh-CN"/>
        </w:rPr>
      </w:pPr>
      <w:r>
        <w:rPr>
          <w:rFonts w:hint="eastAsia" w:asciiTheme="majorEastAsia" w:hAnsiTheme="majorEastAsia" w:eastAsiaTheme="majorEastAsia" w:cstheme="majorEastAsia"/>
          <w:sz w:val="52"/>
          <w:szCs w:val="52"/>
          <w:lang w:val="en-US" w:eastAsia="zh-CN"/>
        </w:rPr>
        <w:t>招标文件</w:t>
      </w:r>
    </w:p>
    <w:p>
      <w:pPr>
        <w:pStyle w:val="5"/>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招标内容</w:t>
      </w:r>
    </w:p>
    <w:p>
      <w:pP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池州市人民医院1年期西学中培训在线网络课程项目。</w:t>
      </w:r>
    </w:p>
    <w:p>
      <w:pPr>
        <w:jc w:val="center"/>
        <w:rPr>
          <w:rFonts w:asciiTheme="minorEastAsia" w:hAnsiTheme="minorEastAsia" w:eastAsiaTheme="minorEastAsia" w:cstheme="minorEastAsia"/>
          <w:b/>
          <w:sz w:val="24"/>
          <w:szCs w:val="24"/>
        </w:rPr>
      </w:pPr>
    </w:p>
    <w:p>
      <w:pPr>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招标需求</w:t>
      </w:r>
    </w:p>
    <w:p>
      <w:pPr>
        <w:pStyle w:val="6"/>
        <w:spacing w:line="360" w:lineRule="auto"/>
        <w:rPr>
          <w:rFonts w:asciiTheme="minorEastAsia" w:hAnsiTheme="minorEastAsia" w:eastAsiaTheme="minorEastAsia" w:cstheme="minorEastAsia"/>
          <w:sz w:val="24"/>
          <w:szCs w:val="24"/>
        </w:rPr>
      </w:pPr>
      <w:bookmarkStart w:id="0" w:name="_Toc521065584"/>
      <w:bookmarkStart w:id="1" w:name="_Toc3153"/>
      <w:r>
        <w:rPr>
          <w:rFonts w:hint="eastAsia" w:asciiTheme="minorEastAsia" w:hAnsiTheme="minorEastAsia" w:eastAsiaTheme="minorEastAsia" w:cstheme="minorEastAsia"/>
          <w:sz w:val="24"/>
          <w:szCs w:val="24"/>
        </w:rPr>
        <w:t>一、项目需求</w:t>
      </w:r>
      <w:bookmarkEnd w:id="0"/>
      <w:bookmarkEnd w:id="1"/>
    </w:p>
    <w:p>
      <w:pPr>
        <w:spacing w:line="5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1、网络培训及考试必须同时支持pc端、移动端学习和考试，平台移动端APP必须同时支持苹果及安卓系统。</w:t>
      </w:r>
    </w:p>
    <w:p>
      <w:pPr>
        <w:spacing w:line="500" w:lineRule="exact"/>
        <w:ind w:firstLine="52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2、网络培训及考试课件内容版权合法，课程内容模块包括</w:t>
      </w:r>
      <w:r>
        <w:rPr>
          <w:rFonts w:hint="eastAsia" w:ascii="Arial" w:hAnsi="Arial" w:cs="Arial"/>
          <w:color w:val="000000"/>
          <w:sz w:val="24"/>
          <w:szCs w:val="24"/>
        </w:rPr>
        <w:t>《中医基础理论》、《中医诊断学》、《中药学》、《方剂学》、《中成药学》、《中医适宜技术》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配套教材含以上六门课程。</w:t>
      </w:r>
    </w:p>
    <w:p>
      <w:pPr>
        <w:spacing w:line="500" w:lineRule="exact"/>
        <w:ind w:firstLine="520"/>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▲3、培训平台能实现必修课及选修课设置，学员端能体现学员尚未完成的课程学时，平台可以灵活设定必修课及选修课的进度达标百分率。</w:t>
      </w:r>
    </w:p>
    <w:p>
      <w:pPr>
        <w:spacing w:line="500" w:lineRule="exact"/>
        <w:ind w:firstLine="52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4、网络培训能实现10000人以上同时在线观看培训课程。</w:t>
      </w:r>
    </w:p>
    <w:p>
      <w:pPr>
        <w:spacing w:line="500" w:lineRule="exact"/>
        <w:ind w:firstLine="520"/>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▲5、网络考试试卷差异化，课程学习以及考试前、考试中、提交试卷前系统能够运用人脸识别进行身份认证。</w:t>
      </w:r>
    </w:p>
    <w:p>
      <w:pPr>
        <w:ind w:firstLine="480" w:firstLineChars="200"/>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6、数据结构需求</w:t>
      </w:r>
    </w:p>
    <w:p>
      <w:pPr>
        <w:pStyle w:val="17"/>
        <w:spacing w:line="360" w:lineRule="auto"/>
        <w:ind w:left="0"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（1）数据标准：需严格按照相关规范要求设计。</w:t>
      </w:r>
    </w:p>
    <w:p>
      <w:pPr>
        <w:pStyle w:val="17"/>
        <w:spacing w:line="360" w:lineRule="auto"/>
        <w:ind w:left="0"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（2）数据安全：数据需经过特殊加密和校验，未经授权不可修改。</w:t>
      </w:r>
    </w:p>
    <w:p>
      <w:pPr>
        <w:pStyle w:val="17"/>
        <w:spacing w:line="360" w:lineRule="auto"/>
        <w:ind w:left="0"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数据输入：通过数据库事务技术，确保数据准确、快速、完整的输入。支持多途径多方式采集数据，包括键盘、鼠标、电子卡、数据文件及网络等；对采集的数据要进行逻辑审核校验；并记录数据来源、采集人和录入时间；提供批量数据的快速录入、导入功能。</w:t>
      </w:r>
    </w:p>
    <w:p>
      <w:pPr>
        <w:pStyle w:val="17"/>
        <w:spacing w:line="360" w:lineRule="auto"/>
        <w:ind w:left="0"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数据处理：可对数据进行查询、查重、查漏、取消作废、修改、删除、打印、汇总、统计的功能。所有个案数据都可实现结案、取消结案；所有数据、查询结果和统计报表均能打印、显示和导出，支持导出为Excel、PDF、TXT等通用数据格式。</w:t>
      </w:r>
    </w:p>
    <w:p>
      <w:pPr>
        <w:pStyle w:val="17"/>
        <w:spacing w:line="360" w:lineRule="auto"/>
        <w:ind w:left="0"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数据备份：系统需采用高可靠的企业级备份方案，具有数据备份的功能，支持定时数据备份和手工操作备份。支持完全备份和增量备份；支持通用格式文本备份。有管理数据备份的功能，能实现备份情况的查询统计。</w:t>
      </w:r>
    </w:p>
    <w:p>
      <w:pPr>
        <w:pStyle w:val="17"/>
        <w:spacing w:line="360" w:lineRule="auto"/>
        <w:ind w:left="0"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（6）数据恢复：需提供专业的数据恢复工具，可以实现备份数据的恢复，包括操作系统恢复和手工操作恢复；可选定文件、日期来恢复数据。</w:t>
      </w:r>
    </w:p>
    <w:p>
      <w:pPr>
        <w:pStyle w:val="17"/>
        <w:spacing w:line="360" w:lineRule="auto"/>
        <w:ind w:left="0"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（7）数据传输：可通过VPN虚拟专线在公众数据网络Internet上建立属于本系统的私有数据网络。通过加密和认证技术以确保用户的数据在公用网络上的传输安全，从而实现网络数据的专有性。</w:t>
      </w:r>
    </w:p>
    <w:p>
      <w:pPr>
        <w:pStyle w:val="17"/>
        <w:spacing w:line="360" w:lineRule="auto"/>
        <w:ind w:left="0"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7、性能指标</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（1）具体性能指标要求如下：</w:t>
      </w:r>
    </w:p>
    <w:p>
      <w:pPr>
        <w:spacing w:line="360" w:lineRule="auto"/>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①桌面应用响应时间≤3秒；</w:t>
      </w:r>
    </w:p>
    <w:p>
      <w:pPr>
        <w:spacing w:line="360" w:lineRule="auto"/>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②WEB应用响应时间应≤3秒；</w:t>
      </w:r>
    </w:p>
    <w:p>
      <w:pPr>
        <w:spacing w:line="360" w:lineRule="auto"/>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③统计类等非业务界面响应时间应≤8秒；</w:t>
      </w:r>
    </w:p>
    <w:p>
      <w:pPr>
        <w:spacing w:line="360" w:lineRule="auto"/>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④数据上传延时≤10秒；</w:t>
      </w:r>
    </w:p>
    <w:p>
      <w:pPr>
        <w:spacing w:line="360" w:lineRule="auto"/>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⑤实时调取外部系统数据，结果呈现的响应时间≤3秒，因外部超时应作相应处理；</w:t>
      </w:r>
    </w:p>
    <w:p>
      <w:pPr>
        <w:spacing w:line="360" w:lineRule="auto"/>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⑥系统支持数据处理的并发量≥1000；</w:t>
      </w:r>
    </w:p>
    <w:p>
      <w:pPr>
        <w:spacing w:line="360" w:lineRule="auto"/>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⑦系统中断时间≤5秒。</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（2）系统可靠性：</w:t>
      </w:r>
    </w:p>
    <w:p>
      <w:pPr>
        <w:spacing w:line="360" w:lineRule="auto"/>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①平均故障间隔时间MTBF不小于10000小时；</w:t>
      </w:r>
    </w:p>
    <w:p>
      <w:pPr>
        <w:spacing w:line="360" w:lineRule="auto"/>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②系统中断时间＜24小时/年。</w:t>
      </w:r>
    </w:p>
    <w:p>
      <w:pPr>
        <w:spacing w:line="360" w:lineRule="auto"/>
        <w:ind w:firstLine="480" w:firstLineChars="2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8、培训考试平台</w:t>
      </w:r>
    </w:p>
    <w:p>
      <w:pPr>
        <w:pStyle w:val="18"/>
        <w:spacing w:line="360" w:lineRule="auto"/>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（1）在线学习模块</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平台可分模块设置相应学时数，学员可在PC端或手机端先选择单元模块、再选择视频课程进行学习，完成视频学习和课后作业。</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（2）提交作业模块</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每个视频课程学习完成后，可进行课后作业练习，答对全部课后试题才算完成课后作业。</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（3）理论考核模块</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考核要求可随机组卷，灵活设置题型题量、考试时间、考试次数、及格分数线等考试规则，支持单选题、多选题、判断题等多种题型，自动计时、自动阅卷，学员提交考试可获知考试分数及是否通过情况。考试时采用“人脸识别”技术进行身份验证，避免他人代考。</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（4）调研问卷模块</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对培训需求、培训内容、培训效果等可以进行线上调研，了解学员和管理者各类培训需求等。</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（5）培训动态模块</w:t>
      </w:r>
    </w:p>
    <w:p>
      <w:pPr>
        <w:pStyle w:val="18"/>
        <w:spacing w:line="360" w:lineRule="auto"/>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根据培训要求，可发布与培训相关的通知、公告等，以便学员及时了解培训动态。</w:t>
      </w:r>
    </w:p>
    <w:p>
      <w:pPr>
        <w:widowControl/>
        <w:jc w:val="left"/>
        <w:rPr>
          <w:b/>
          <w:bCs/>
          <w:highlight w:val="none"/>
        </w:rPr>
      </w:pPr>
      <w:r>
        <w:rPr>
          <w:rFonts w:hint="eastAsia" w:asciiTheme="minorEastAsia" w:hAnsiTheme="minorEastAsia" w:eastAsiaTheme="minorEastAsia" w:cstheme="minorEastAsia"/>
          <w:b/>
          <w:bCs/>
          <w:sz w:val="24"/>
          <w:szCs w:val="24"/>
          <w:highlight w:val="none"/>
        </w:rPr>
        <w:t>二、</w:t>
      </w:r>
      <w:r>
        <w:rPr>
          <w:rFonts w:hint="eastAsia" w:ascii="宋体" w:hAnsi="宋体" w:cs="宋体"/>
          <w:b/>
          <w:bCs/>
          <w:color w:val="000000"/>
          <w:kern w:val="0"/>
          <w:sz w:val="24"/>
          <w:szCs w:val="24"/>
          <w:highlight w:val="none"/>
          <w:lang w:bidi="ar"/>
        </w:rPr>
        <w:t xml:space="preserve">商务要求 </w:t>
      </w:r>
    </w:p>
    <w:p>
      <w:pPr>
        <w:widowControl/>
        <w:jc w:val="left"/>
        <w:rPr>
          <w:bCs/>
          <w:highlight w:val="none"/>
        </w:rPr>
      </w:pPr>
      <w:r>
        <w:rPr>
          <w:rFonts w:hint="eastAsia" w:ascii="宋体" w:hAnsi="宋体" w:cs="宋体"/>
          <w:bCs/>
          <w:color w:val="000000"/>
          <w:kern w:val="0"/>
          <w:sz w:val="24"/>
          <w:szCs w:val="24"/>
          <w:highlight w:val="none"/>
          <w:lang w:bidi="ar"/>
        </w:rPr>
        <w:t xml:space="preserve">1、工期 </w:t>
      </w:r>
    </w:p>
    <w:p>
      <w:pPr>
        <w:widowControl/>
        <w:jc w:val="left"/>
        <w:rPr>
          <w:bCs/>
          <w:highlight w:val="none"/>
        </w:rPr>
      </w:pPr>
      <w:r>
        <w:rPr>
          <w:rFonts w:hint="eastAsia" w:ascii="宋体" w:hAnsi="宋体" w:cs="宋体"/>
          <w:bCs/>
          <w:color w:val="000000"/>
          <w:kern w:val="0"/>
          <w:sz w:val="24"/>
          <w:szCs w:val="24"/>
          <w:highlight w:val="none"/>
          <w:lang w:bidi="ar"/>
        </w:rPr>
        <w:t xml:space="preserve">合同签订后 30 个日历日内完成设备安装调试和验收工作。 </w:t>
      </w:r>
    </w:p>
    <w:p>
      <w:pPr>
        <w:widowControl/>
        <w:jc w:val="left"/>
        <w:rPr>
          <w:bCs/>
          <w:highlight w:val="none"/>
        </w:rPr>
      </w:pPr>
      <w:r>
        <w:rPr>
          <w:rFonts w:hint="eastAsia" w:ascii="宋体" w:hAnsi="宋体" w:cs="宋体"/>
          <w:bCs/>
          <w:color w:val="000000"/>
          <w:kern w:val="0"/>
          <w:sz w:val="24"/>
          <w:szCs w:val="24"/>
          <w:highlight w:val="none"/>
          <w:lang w:bidi="ar"/>
        </w:rPr>
        <w:t xml:space="preserve">2、售后服务 </w:t>
      </w:r>
    </w:p>
    <w:p>
      <w:pPr>
        <w:pStyle w:val="8"/>
        <w:spacing w:line="312" w:lineRule="auto"/>
        <w:ind w:firstLine="48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应设立售后服务机构，处理所有售后服务，包括对现场安装及解决问题，同时可提供7*24小时本地语言（中文）支持。本项目实施期间，当出现故障时，投标方须满足1小时内响应，4小时内派遣工程师赶到现场，查找原因，提出解决方案，并工作直至故障完全恢复正常服务为止。</w:t>
      </w:r>
    </w:p>
    <w:p>
      <w:pPr>
        <w:widowControl/>
        <w:jc w:val="left"/>
        <w:rPr>
          <w:bCs/>
          <w:highlight w:val="none"/>
        </w:rPr>
      </w:pPr>
      <w:r>
        <w:rPr>
          <w:rFonts w:hint="eastAsia" w:ascii="宋体" w:hAnsi="宋体" w:cs="宋体"/>
          <w:bCs/>
          <w:color w:val="000000"/>
          <w:kern w:val="0"/>
          <w:sz w:val="24"/>
          <w:szCs w:val="24"/>
          <w:highlight w:val="none"/>
          <w:lang w:bidi="ar"/>
        </w:rPr>
        <w:t xml:space="preserve">3、付款方式 </w:t>
      </w:r>
    </w:p>
    <w:p>
      <w:pPr>
        <w:widowControl/>
        <w:jc w:val="left"/>
        <w:rPr>
          <w:bCs/>
          <w:highlight w:val="none"/>
        </w:rPr>
      </w:pPr>
      <w:r>
        <w:rPr>
          <w:rFonts w:hint="eastAsia" w:asciiTheme="minorEastAsia" w:hAnsiTheme="minorEastAsia" w:eastAsiaTheme="minorEastAsia" w:cstheme="minorEastAsia"/>
          <w:sz w:val="24"/>
          <w:szCs w:val="24"/>
          <w:highlight w:val="none"/>
        </w:rPr>
        <w:t>（1）</w:t>
      </w:r>
      <w:r>
        <w:rPr>
          <w:rFonts w:hint="eastAsia" w:ascii="宋体" w:hAnsi="宋体" w:cs="宋体"/>
          <w:bCs/>
          <w:color w:val="000000"/>
          <w:kern w:val="0"/>
          <w:sz w:val="24"/>
          <w:szCs w:val="24"/>
          <w:highlight w:val="none"/>
          <w:lang w:bidi="ar"/>
        </w:rPr>
        <w:t xml:space="preserve">本项目合同签订后即支付合同总额 90%； </w:t>
      </w:r>
    </w:p>
    <w:p>
      <w:pPr>
        <w:widowControl/>
        <w:jc w:val="left"/>
        <w:rPr>
          <w:bCs/>
          <w:highlight w:val="none"/>
        </w:rPr>
      </w:pPr>
      <w:r>
        <w:rPr>
          <w:rFonts w:hint="eastAsia" w:asciiTheme="minorEastAsia" w:hAnsiTheme="minorEastAsia" w:eastAsiaTheme="minorEastAsia" w:cstheme="minorEastAsia"/>
          <w:sz w:val="24"/>
          <w:szCs w:val="24"/>
          <w:highlight w:val="none"/>
        </w:rPr>
        <w:t>（2）</w:t>
      </w:r>
      <w:r>
        <w:rPr>
          <w:rFonts w:hint="eastAsia" w:ascii="宋体" w:hAnsi="宋体" w:cs="宋体"/>
          <w:bCs/>
          <w:color w:val="000000"/>
          <w:kern w:val="0"/>
          <w:sz w:val="24"/>
          <w:szCs w:val="24"/>
          <w:highlight w:val="none"/>
          <w:lang w:bidi="ar"/>
        </w:rPr>
        <w:t>项目完成后支付合同总额 10%；</w:t>
      </w:r>
    </w:p>
    <w:p>
      <w:pPr>
        <w:pStyle w:val="6"/>
        <w:numPr>
          <w:ilvl w:val="0"/>
          <w:numId w:val="1"/>
        </w:numPr>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评分标准</w:t>
      </w:r>
    </w:p>
    <w:p>
      <w:pPr>
        <w:rPr>
          <w:rFonts w:eastAsiaTheme="minorEastAsia"/>
        </w:rPr>
      </w:pPr>
      <w:r>
        <w:rPr>
          <w:rFonts w:hint="eastAsia" w:asciiTheme="minorEastAsia" w:hAnsiTheme="minorEastAsia" w:eastAsiaTheme="minorEastAsia" w:cstheme="minorEastAsia"/>
          <w:sz w:val="24"/>
          <w:szCs w:val="24"/>
        </w:rPr>
        <w:t>1、价格评分10分</w:t>
      </w:r>
    </w:p>
    <w:tbl>
      <w:tblPr>
        <w:tblStyle w:val="12"/>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5514"/>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jc w:val="center"/>
        </w:trPr>
        <w:tc>
          <w:tcPr>
            <w:tcW w:w="2093"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评分点</w:t>
            </w:r>
          </w:p>
        </w:tc>
        <w:tc>
          <w:tcPr>
            <w:tcW w:w="5514"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评审内容</w:t>
            </w:r>
          </w:p>
        </w:tc>
        <w:tc>
          <w:tcPr>
            <w:tcW w:w="915"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3" w:hRule="atLeast"/>
          <w:jc w:val="center"/>
        </w:trPr>
        <w:tc>
          <w:tcPr>
            <w:tcW w:w="2093" w:type="dxa"/>
            <w:vAlign w:val="center"/>
          </w:tcPr>
          <w:p>
            <w:pPr>
              <w:widowControl/>
              <w:jc w:val="center"/>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报价得分</w:t>
            </w:r>
          </w:p>
        </w:tc>
        <w:tc>
          <w:tcPr>
            <w:tcW w:w="5514" w:type="dxa"/>
            <w:vAlign w:val="center"/>
          </w:tcPr>
          <w:p>
            <w:pPr>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满足招标文件要求且投标价格最低的投标价为基准价，其价格分为满分。其他投标人的价格分统一按照下列公式计算：</w:t>
            </w:r>
          </w:p>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投标报价得分=（评标基准价/投标报价）*10*100%</w:t>
            </w:r>
          </w:p>
        </w:tc>
        <w:tc>
          <w:tcPr>
            <w:tcW w:w="915" w:type="dxa"/>
            <w:vAlign w:val="center"/>
          </w:tcPr>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10分</w:t>
            </w:r>
          </w:p>
        </w:tc>
      </w:tr>
    </w:tbl>
    <w:p/>
    <w:p>
      <w:pPr>
        <w:widowControl/>
        <w:jc w:val="left"/>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br w:type="page"/>
      </w:r>
    </w:p>
    <w:p>
      <w:pP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2、项目技术评分</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0分</w:t>
      </w:r>
    </w:p>
    <w:tbl>
      <w:tblPr>
        <w:tblStyle w:val="12"/>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4046"/>
        <w:gridCol w:w="1468"/>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2093"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评分点</w:t>
            </w:r>
          </w:p>
        </w:tc>
        <w:tc>
          <w:tcPr>
            <w:tcW w:w="4046"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评审内容</w:t>
            </w:r>
          </w:p>
        </w:tc>
        <w:tc>
          <w:tcPr>
            <w:tcW w:w="1468"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基本项得分</w:t>
            </w:r>
          </w:p>
        </w:tc>
        <w:tc>
          <w:tcPr>
            <w:tcW w:w="915"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8" w:hRule="atLeast"/>
          <w:jc w:val="center"/>
        </w:trPr>
        <w:tc>
          <w:tcPr>
            <w:tcW w:w="2093" w:type="dxa"/>
            <w:vAlign w:val="center"/>
          </w:tcPr>
          <w:p>
            <w:pPr>
              <w:widowControl/>
              <w:jc w:val="center"/>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项目需求响应</w:t>
            </w:r>
          </w:p>
        </w:tc>
        <w:tc>
          <w:tcPr>
            <w:tcW w:w="4046" w:type="dxa"/>
            <w:vAlign w:val="center"/>
          </w:tcPr>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基本项：投标人需完全响应招标文件项目需求中序号1至8中所有除“▲”标记以外的内容得30分，否则作无效响应处理； </w:t>
            </w:r>
          </w:p>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加分项：以下要求为招标文件中标注有“▲”的重点功能，每满足一项得10分，满分20分。</w:t>
            </w:r>
          </w:p>
          <w:p>
            <w:pPr>
              <w:pStyle w:val="18"/>
              <w:widowControl/>
              <w:numPr>
                <w:ilvl w:val="0"/>
                <w:numId w:val="2"/>
              </w:numPr>
              <w:ind w:firstLineChars="0"/>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培训平台能实现必修课及选修课设置，学员端能体现学员尚未完成的课程学时，平台可以灵活设定必修课及选修课的进度达标百分率。满足得10分，不满足得0分。</w:t>
            </w:r>
          </w:p>
          <w:p>
            <w:pPr>
              <w:pStyle w:val="18"/>
              <w:widowControl/>
              <w:numPr>
                <w:ilvl w:val="0"/>
                <w:numId w:val="2"/>
              </w:numPr>
              <w:ind w:firstLineChars="0"/>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网络考试试卷差异化，课程学习以及考试前、考试中、提交试卷前系统能够运用人脸识别进行身份认证。满足得10分，不满足得0分。</w:t>
            </w:r>
          </w:p>
          <w:p>
            <w:pPr>
              <w:widowControl/>
              <w:rPr>
                <w:rFonts w:asciiTheme="minorEastAsia" w:hAnsiTheme="minorEastAsia" w:eastAsiaTheme="minorEastAsia" w:cstheme="minorEastAsia"/>
                <w:sz w:val="24"/>
                <w:szCs w:val="24"/>
              </w:rPr>
            </w:pPr>
          </w:p>
        </w:tc>
        <w:tc>
          <w:tcPr>
            <w:tcW w:w="1468" w:type="dxa"/>
            <w:vAlign w:val="center"/>
          </w:tcPr>
          <w:p>
            <w:pPr>
              <w:widowControl/>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30分</w:t>
            </w:r>
          </w:p>
        </w:tc>
        <w:tc>
          <w:tcPr>
            <w:tcW w:w="915" w:type="dxa"/>
            <w:vAlign w:val="center"/>
          </w:tcPr>
          <w:p>
            <w:pPr>
              <w:widowControl/>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0分</w:t>
            </w:r>
          </w:p>
        </w:tc>
      </w:tr>
    </w:tbl>
    <w:p>
      <w:pPr>
        <w:rPr>
          <w:rFonts w:asciiTheme="minorEastAsia" w:hAnsiTheme="minorEastAsia" w:eastAsiaTheme="minorEastAsia" w:cstheme="minorEastAsia"/>
          <w:sz w:val="24"/>
          <w:szCs w:val="24"/>
        </w:rPr>
      </w:pPr>
    </w:p>
    <w:p>
      <w:pP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3、商务评分40分</w:t>
      </w:r>
    </w:p>
    <w:tbl>
      <w:tblPr>
        <w:tblStyle w:val="12"/>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4046"/>
        <w:gridCol w:w="1468"/>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2093"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评分点</w:t>
            </w:r>
          </w:p>
        </w:tc>
        <w:tc>
          <w:tcPr>
            <w:tcW w:w="4046"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评审内容</w:t>
            </w:r>
          </w:p>
        </w:tc>
        <w:tc>
          <w:tcPr>
            <w:tcW w:w="1468"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基本项得分</w:t>
            </w:r>
          </w:p>
        </w:tc>
        <w:tc>
          <w:tcPr>
            <w:tcW w:w="915"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jc w:val="center"/>
        </w:trPr>
        <w:tc>
          <w:tcPr>
            <w:tcW w:w="2093" w:type="dxa"/>
            <w:vAlign w:val="center"/>
          </w:tcPr>
          <w:p>
            <w:pPr>
              <w:widowControl/>
              <w:jc w:val="center"/>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商务综合评审</w:t>
            </w:r>
          </w:p>
        </w:tc>
        <w:tc>
          <w:tcPr>
            <w:tcW w:w="4046" w:type="dxa"/>
            <w:vAlign w:val="center"/>
          </w:tcPr>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基本项：投标人完全满足招标文件中商务要求的得6分，否则作无效响应处理；</w:t>
            </w:r>
          </w:p>
          <w:p>
            <w:pPr>
              <w:widowControl/>
              <w:rPr>
                <w:rFonts w:asciiTheme="minorEastAsia" w:hAnsiTheme="minorEastAsia" w:eastAsiaTheme="minorEastAsia" w:cstheme="minorEastAsia"/>
                <w:kern w:val="0"/>
                <w:sz w:val="24"/>
                <w:szCs w:val="24"/>
              </w:rPr>
            </w:pPr>
          </w:p>
          <w:p>
            <w:pPr>
              <w:widowControl/>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加分项：</w:t>
            </w:r>
          </w:p>
          <w:p>
            <w:pPr>
              <w:widowControl/>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投标人自2018年起实施过不同省级卫生行政部门组织的卫生技术人员培训并采用人脸识别验证技术进行全省统一考试的项目案例，无符合上述要求的项目实施经验本项计零分；实施项目省份&lt;3个，得2分；3个≤实施项目省份&lt;6个得5分；实施项目省份≥6个得10分。满分10分。（提供相关文件、合同或中标证明复印件，加盖投标人公章）</w:t>
            </w:r>
          </w:p>
          <w:p>
            <w:pPr>
              <w:pStyle w:val="18"/>
              <w:widowControl/>
              <w:numPr>
                <w:ilvl w:val="0"/>
                <w:numId w:val="3"/>
              </w:numPr>
              <w:ind w:firstLineChars="0"/>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投标人应获得医学教育管理信息化方面的软件产品著作权证书，须提供证书复印件。产品著作权≥80个得5分，60≤产品著作权＜80得3分，30≤产品著作权＜60得1分，其他得0分。满分5分。（证书复印件加盖投标人公章）</w:t>
            </w:r>
          </w:p>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项目实施人员应具有以下三种证书之一：（1）人力资源和社会保障部与工业和信息化部颁发的信息系统项目管理师证书。（2）美国项目管理协会(PMI)颁发的PMP证书；（3）欧洲国际项目管理协会(IPMA)颁发的IPMP证书；满足得4分。（须提供电子证书或证书原件的扫描件及投标单位缴纳的社保证明并加盖投标人公章）。</w:t>
            </w:r>
          </w:p>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4、</w:t>
            </w:r>
            <w:r>
              <w:rPr>
                <w:rFonts w:hint="eastAsia" w:asciiTheme="minorEastAsia" w:hAnsiTheme="minorEastAsia" w:eastAsiaTheme="minorEastAsia" w:cstheme="minorEastAsia"/>
                <w:kern w:val="0"/>
                <w:sz w:val="24"/>
                <w:szCs w:val="24"/>
              </w:rPr>
              <w:t>确保稳定、及时的售后服务，投标人针对本项目拟投入的项目团队成员（包括项目负责人）近一年须在投标单位缴纳个人社保（补缴无效）。否则本项直接计0分。在此基础上，每有一人具备本科（或以上）学历的得0.5</w:t>
            </w:r>
            <w:r>
              <w:rPr>
                <w:rFonts w:asciiTheme="minorEastAsia" w:hAnsiTheme="minorEastAsia" w:eastAsiaTheme="minorEastAsia" w:cstheme="minorEastAsia"/>
                <w:kern w:val="0"/>
                <w:sz w:val="24"/>
                <w:szCs w:val="24"/>
              </w:rPr>
              <w:t>分，本项最高得</w:t>
            </w:r>
            <w:r>
              <w:rPr>
                <w:rFonts w:hint="eastAsia" w:asciiTheme="minorEastAsia" w:hAnsiTheme="minorEastAsia" w:eastAsiaTheme="minorEastAsia" w:cstheme="minorEastAsia"/>
                <w:kern w:val="0"/>
                <w:sz w:val="24"/>
                <w:szCs w:val="24"/>
              </w:rPr>
              <w:t>10分；要求提供项目团队成员近三个月通过投标单位购买的个人社保证明，补缴无效）、相关资格证书复印件或扫描件加盖投标人公章（原件备查）作为得分依据。满分10分。</w:t>
            </w:r>
          </w:p>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5、具备国家开展远程继续医学教育工作的批复文件得3分，没有</w:t>
            </w:r>
            <w:r>
              <w:rPr>
                <w:rFonts w:hint="eastAsia" w:asciiTheme="minorEastAsia" w:hAnsiTheme="minorEastAsia" w:eastAsiaTheme="minorEastAsia" w:cstheme="minorEastAsia"/>
                <w:sz w:val="24"/>
                <w:szCs w:val="24"/>
              </w:rPr>
              <w:t>得0分</w:t>
            </w:r>
            <w:r>
              <w:rPr>
                <w:rFonts w:hint="eastAsia" w:asciiTheme="minorEastAsia" w:hAnsiTheme="minorEastAsia" w:eastAsiaTheme="minorEastAsia" w:cstheme="minorEastAsia"/>
                <w:kern w:val="0"/>
                <w:sz w:val="24"/>
                <w:szCs w:val="24"/>
              </w:rPr>
              <w:t>。满分3分。（证明复印件加盖投标人公章）</w:t>
            </w:r>
          </w:p>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6、具备ISO9001质量管理体系认证得2分，没有得0分。满分2分。（认证证书原件的扫描件加盖投标人公章）</w:t>
            </w:r>
          </w:p>
          <w:p>
            <w:pPr>
              <w:widowControl/>
              <w:jc w:val="center"/>
              <w:rPr>
                <w:rFonts w:asciiTheme="minorEastAsia" w:hAnsiTheme="minorEastAsia" w:eastAsiaTheme="minorEastAsia" w:cstheme="minorEastAsia"/>
                <w:kern w:val="0"/>
                <w:sz w:val="24"/>
                <w:szCs w:val="24"/>
              </w:rPr>
            </w:pPr>
          </w:p>
        </w:tc>
        <w:tc>
          <w:tcPr>
            <w:tcW w:w="1468" w:type="dxa"/>
            <w:vAlign w:val="center"/>
          </w:tcPr>
          <w:p>
            <w:pPr>
              <w:widowControl/>
              <w:jc w:val="center"/>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6分</w:t>
            </w:r>
          </w:p>
        </w:tc>
        <w:tc>
          <w:tcPr>
            <w:tcW w:w="915" w:type="dxa"/>
            <w:vAlign w:val="center"/>
          </w:tcPr>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40分</w:t>
            </w:r>
          </w:p>
        </w:tc>
      </w:tr>
    </w:tbl>
    <w:p>
      <w:pPr>
        <w:numPr>
          <w:numId w:val="0"/>
        </w:numPr>
        <w:ind w:leftChars="0"/>
        <w:rPr>
          <w:rFonts w:hint="eastAsia"/>
          <w:lang w:val="en-US" w:eastAsia="zh-CN"/>
        </w:rPr>
      </w:pPr>
      <w:r>
        <w:rPr>
          <w:rFonts w:hint="eastAsia"/>
          <w:lang w:val="en-US" w:eastAsia="zh-CN"/>
        </w:rPr>
        <w:t>4、现场演示及售后服务10分</w:t>
      </w:r>
    </w:p>
    <w:tbl>
      <w:tblPr>
        <w:tblStyle w:val="12"/>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5514"/>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2093"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评分点</w:t>
            </w:r>
          </w:p>
        </w:tc>
        <w:tc>
          <w:tcPr>
            <w:tcW w:w="5514"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评审内容</w:t>
            </w:r>
          </w:p>
        </w:tc>
        <w:tc>
          <w:tcPr>
            <w:tcW w:w="915"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8" w:hRule="atLeast"/>
          <w:jc w:val="center"/>
        </w:trPr>
        <w:tc>
          <w:tcPr>
            <w:tcW w:w="2093" w:type="dxa"/>
            <w:vAlign w:val="center"/>
          </w:tcPr>
          <w:p>
            <w:pPr>
              <w:widowControl/>
              <w:jc w:val="center"/>
              <w:rPr>
                <w:rFonts w:asciiTheme="minorEastAsia" w:hAnsiTheme="minorEastAsia" w:eastAsiaTheme="minorEastAsia" w:cstheme="minorEastAsia"/>
                <w:kern w:val="0"/>
                <w:sz w:val="24"/>
                <w:szCs w:val="24"/>
              </w:rPr>
            </w:pPr>
            <w:r>
              <w:rPr>
                <w:rFonts w:hint="eastAsia"/>
                <w:lang w:val="en-US" w:eastAsia="zh-CN"/>
              </w:rPr>
              <w:t>现场演示及售后服务</w:t>
            </w:r>
          </w:p>
        </w:tc>
        <w:tc>
          <w:tcPr>
            <w:tcW w:w="5514" w:type="dxa"/>
            <w:vAlign w:val="center"/>
          </w:tcPr>
          <w:p>
            <w:pPr>
              <w:widowControl/>
              <w:numPr>
                <w:ilvl w:val="0"/>
                <w:numId w:val="4"/>
              </w:numPr>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根据现场演示讲解情况，由</w:t>
            </w:r>
            <w:bookmarkStart w:id="2" w:name="_GoBack"/>
            <w:bookmarkEnd w:id="2"/>
            <w:r>
              <w:rPr>
                <w:rFonts w:hint="eastAsia" w:asciiTheme="minorEastAsia" w:hAnsiTheme="minorEastAsia" w:eastAsiaTheme="minorEastAsia" w:cstheme="minorEastAsia"/>
                <w:kern w:val="0"/>
                <w:sz w:val="24"/>
                <w:szCs w:val="24"/>
                <w:lang w:eastAsia="zh-CN"/>
              </w:rPr>
              <w:t>评委根据酌情打分，优得</w:t>
            </w:r>
            <w:r>
              <w:rPr>
                <w:rFonts w:hint="eastAsia" w:asciiTheme="minorEastAsia" w:hAnsiTheme="minorEastAsia" w:eastAsiaTheme="minorEastAsia" w:cstheme="minorEastAsia"/>
                <w:kern w:val="0"/>
                <w:sz w:val="24"/>
                <w:szCs w:val="24"/>
                <w:lang w:val="en-US" w:eastAsia="zh-CN"/>
              </w:rPr>
              <w:t>5</w:t>
            </w:r>
            <w:r>
              <w:rPr>
                <w:rFonts w:hint="eastAsia" w:asciiTheme="minorEastAsia" w:hAnsiTheme="minorEastAsia" w:eastAsiaTheme="minorEastAsia" w:cstheme="minorEastAsia"/>
                <w:kern w:val="0"/>
                <w:sz w:val="24"/>
                <w:szCs w:val="24"/>
                <w:lang w:eastAsia="zh-CN"/>
              </w:rPr>
              <w:t>分，良得</w:t>
            </w:r>
            <w:r>
              <w:rPr>
                <w:rFonts w:hint="eastAsia" w:asciiTheme="minorEastAsia" w:hAnsiTheme="minorEastAsia" w:eastAsiaTheme="minorEastAsia" w:cstheme="minorEastAsia"/>
                <w:kern w:val="0"/>
                <w:sz w:val="24"/>
                <w:szCs w:val="24"/>
                <w:lang w:val="en-US" w:eastAsia="zh-CN"/>
              </w:rPr>
              <w:t>4-3</w:t>
            </w:r>
            <w:r>
              <w:rPr>
                <w:rFonts w:hint="eastAsia" w:asciiTheme="minorEastAsia" w:hAnsiTheme="minorEastAsia" w:eastAsiaTheme="minorEastAsia" w:cstheme="minorEastAsia"/>
                <w:kern w:val="0"/>
                <w:sz w:val="24"/>
                <w:szCs w:val="24"/>
                <w:lang w:eastAsia="zh-CN"/>
              </w:rPr>
              <w:t>分，合格得</w:t>
            </w:r>
            <w:r>
              <w:rPr>
                <w:rFonts w:hint="eastAsia" w:asciiTheme="minorEastAsia" w:hAnsiTheme="minorEastAsia" w:eastAsiaTheme="minorEastAsia" w:cstheme="minorEastAsia"/>
                <w:kern w:val="0"/>
                <w:sz w:val="24"/>
                <w:szCs w:val="24"/>
                <w:lang w:val="en-US" w:eastAsia="zh-CN"/>
              </w:rPr>
              <w:t>2-1</w:t>
            </w:r>
            <w:r>
              <w:rPr>
                <w:rFonts w:hint="eastAsia" w:asciiTheme="minorEastAsia" w:hAnsiTheme="minorEastAsia" w:eastAsiaTheme="minorEastAsia" w:cstheme="minorEastAsia"/>
                <w:kern w:val="0"/>
                <w:sz w:val="24"/>
                <w:szCs w:val="24"/>
                <w:lang w:eastAsia="zh-CN"/>
              </w:rPr>
              <w:t>分。</w:t>
            </w:r>
          </w:p>
          <w:p>
            <w:pPr>
              <w:widowControl/>
              <w:numPr>
                <w:ilvl w:val="0"/>
                <w:numId w:val="4"/>
              </w:numP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eastAsia="zh-CN"/>
              </w:rPr>
              <w:t>根据该项目提供售后服务承诺，包括系统维护、升级服务、响应时间、应急方案的情况酌情打分，优得</w:t>
            </w:r>
            <w:r>
              <w:rPr>
                <w:rFonts w:hint="eastAsia" w:asciiTheme="minorEastAsia" w:hAnsiTheme="minorEastAsia" w:eastAsiaTheme="minorEastAsia" w:cstheme="minorEastAsia"/>
                <w:kern w:val="0"/>
                <w:sz w:val="24"/>
                <w:szCs w:val="24"/>
                <w:lang w:val="en-US" w:eastAsia="zh-CN"/>
              </w:rPr>
              <w:t>5</w:t>
            </w:r>
            <w:r>
              <w:rPr>
                <w:rFonts w:hint="eastAsia" w:asciiTheme="minorEastAsia" w:hAnsiTheme="minorEastAsia" w:eastAsiaTheme="minorEastAsia" w:cstheme="minorEastAsia"/>
                <w:kern w:val="0"/>
                <w:sz w:val="24"/>
                <w:szCs w:val="24"/>
                <w:lang w:eastAsia="zh-CN"/>
              </w:rPr>
              <w:t>分，良得</w:t>
            </w:r>
            <w:r>
              <w:rPr>
                <w:rFonts w:hint="eastAsia" w:asciiTheme="minorEastAsia" w:hAnsiTheme="minorEastAsia" w:eastAsiaTheme="minorEastAsia" w:cstheme="minorEastAsia"/>
                <w:kern w:val="0"/>
                <w:sz w:val="24"/>
                <w:szCs w:val="24"/>
                <w:lang w:val="en-US" w:eastAsia="zh-CN"/>
              </w:rPr>
              <w:t>4-3</w:t>
            </w:r>
            <w:r>
              <w:rPr>
                <w:rFonts w:hint="eastAsia" w:asciiTheme="minorEastAsia" w:hAnsiTheme="minorEastAsia" w:eastAsiaTheme="minorEastAsia" w:cstheme="minorEastAsia"/>
                <w:kern w:val="0"/>
                <w:sz w:val="24"/>
                <w:szCs w:val="24"/>
                <w:lang w:eastAsia="zh-CN"/>
              </w:rPr>
              <w:t>分，合格得</w:t>
            </w:r>
            <w:r>
              <w:rPr>
                <w:rFonts w:hint="eastAsia" w:asciiTheme="minorEastAsia" w:hAnsiTheme="minorEastAsia" w:eastAsiaTheme="minorEastAsia" w:cstheme="minorEastAsia"/>
                <w:kern w:val="0"/>
                <w:sz w:val="24"/>
                <w:szCs w:val="24"/>
                <w:lang w:val="en-US" w:eastAsia="zh-CN"/>
              </w:rPr>
              <w:t>2</w:t>
            </w:r>
            <w:r>
              <w:rPr>
                <w:rFonts w:hint="eastAsia" w:asciiTheme="minorEastAsia" w:hAnsiTheme="minorEastAsia" w:eastAsiaTheme="minorEastAsia" w:cstheme="minorEastAsia"/>
                <w:kern w:val="0"/>
                <w:sz w:val="24"/>
                <w:szCs w:val="24"/>
                <w:lang w:eastAsia="zh-CN"/>
              </w:rPr>
              <w:t>-1分。</w:t>
            </w:r>
          </w:p>
        </w:tc>
        <w:tc>
          <w:tcPr>
            <w:tcW w:w="915" w:type="dxa"/>
            <w:vAlign w:val="center"/>
          </w:tcPr>
          <w:p>
            <w:pPr>
              <w:widowControl/>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0分</w:t>
            </w:r>
          </w:p>
        </w:tc>
      </w:tr>
    </w:tbl>
    <w:p>
      <w:pPr>
        <w:pStyle w:val="2"/>
        <w:numPr>
          <w:numId w:val="0"/>
        </w:numPr>
        <w:ind w:leftChars="0"/>
        <w:rPr>
          <w:rFonts w:hint="eastAsia"/>
          <w:lang w:val="en-US" w:eastAsia="zh-CN"/>
        </w:rPr>
      </w:pPr>
    </w:p>
    <w:p>
      <w:pPr>
        <w:numPr>
          <w:numId w:val="0"/>
        </w:numPr>
        <w:ind w:leftChars="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EC3999"/>
    <w:multiLevelType w:val="singleLevel"/>
    <w:tmpl w:val="9BEC3999"/>
    <w:lvl w:ilvl="0" w:tentative="0">
      <w:start w:val="3"/>
      <w:numFmt w:val="chineseCounting"/>
      <w:suff w:val="nothing"/>
      <w:lvlText w:val="%1、"/>
      <w:lvlJc w:val="left"/>
      <w:rPr>
        <w:rFonts w:hint="eastAsia"/>
      </w:rPr>
    </w:lvl>
  </w:abstractNum>
  <w:abstractNum w:abstractNumId="1">
    <w:nsid w:val="D444A10C"/>
    <w:multiLevelType w:val="singleLevel"/>
    <w:tmpl w:val="D444A10C"/>
    <w:lvl w:ilvl="0" w:tentative="0">
      <w:start w:val="1"/>
      <w:numFmt w:val="decimal"/>
      <w:suff w:val="nothing"/>
      <w:lvlText w:val="%1、"/>
      <w:lvlJc w:val="left"/>
    </w:lvl>
  </w:abstractNum>
  <w:abstractNum w:abstractNumId="2">
    <w:nsid w:val="04A1374B"/>
    <w:multiLevelType w:val="multilevel"/>
    <w:tmpl w:val="04A1374B"/>
    <w:lvl w:ilvl="0" w:tentative="0">
      <w:start w:val="1"/>
      <w:numFmt w:val="decimalEnclosedCircle"/>
      <w:lvlText w:val="%1"/>
      <w:lvlJc w:val="left"/>
      <w:pPr>
        <w:ind w:left="360" w:hanging="360"/>
      </w:pPr>
      <w:rPr>
        <w:rFonts w:hint="default" w:asciiTheme="minorEastAsia" w:hAnsiTheme="minorEastAsia" w:eastAsiaTheme="minorEastAsia" w:cstheme="minorEastAsia"/>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60A55C8"/>
    <w:multiLevelType w:val="multilevel"/>
    <w:tmpl w:val="360A55C8"/>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7D8"/>
    <w:rsid w:val="00086EC2"/>
    <w:rsid w:val="000C5693"/>
    <w:rsid w:val="00340F4E"/>
    <w:rsid w:val="00444CAB"/>
    <w:rsid w:val="004F39E8"/>
    <w:rsid w:val="005240FE"/>
    <w:rsid w:val="00632B02"/>
    <w:rsid w:val="007C27D8"/>
    <w:rsid w:val="009E60BB"/>
    <w:rsid w:val="00B3261E"/>
    <w:rsid w:val="00BD4E08"/>
    <w:rsid w:val="00CB0B64"/>
    <w:rsid w:val="00D63A9E"/>
    <w:rsid w:val="00DE02B6"/>
    <w:rsid w:val="00E67D2A"/>
    <w:rsid w:val="00EF03E8"/>
    <w:rsid w:val="00EF3E37"/>
    <w:rsid w:val="00F55F9C"/>
    <w:rsid w:val="1D67651D"/>
    <w:rsid w:val="23F21F8D"/>
    <w:rsid w:val="35101C3E"/>
    <w:rsid w:val="55934889"/>
    <w:rsid w:val="6D922849"/>
    <w:rsid w:val="6EC23D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1"/>
    <w:basedOn w:val="1"/>
    <w:next w:val="1"/>
    <w:link w:val="14"/>
    <w:qFormat/>
    <w:uiPriority w:val="99"/>
    <w:pPr>
      <w:keepNext/>
      <w:keepLines/>
      <w:spacing w:before="340" w:after="330" w:line="578" w:lineRule="auto"/>
      <w:outlineLvl w:val="0"/>
    </w:pPr>
    <w:rPr>
      <w:b/>
      <w:bCs/>
      <w:kern w:val="44"/>
      <w:sz w:val="32"/>
      <w:szCs w:val="44"/>
    </w:rPr>
  </w:style>
  <w:style w:type="paragraph" w:styleId="6">
    <w:name w:val="heading 2"/>
    <w:basedOn w:val="1"/>
    <w:next w:val="1"/>
    <w:link w:val="15"/>
    <w:qFormat/>
    <w:uiPriority w:val="99"/>
    <w:pPr>
      <w:keepNext/>
      <w:keepLines/>
      <w:spacing w:before="260" w:after="260" w:line="416" w:lineRule="auto"/>
      <w:outlineLvl w:val="1"/>
    </w:pPr>
    <w:rPr>
      <w:rFonts w:ascii="Cambria" w:hAnsi="Cambria"/>
      <w:b/>
      <w:bCs/>
      <w:sz w:val="28"/>
      <w:szCs w:val="32"/>
    </w:rPr>
  </w:style>
  <w:style w:type="paragraph" w:styleId="7">
    <w:name w:val="heading 5"/>
    <w:basedOn w:val="1"/>
    <w:next w:val="1"/>
    <w:link w:val="16"/>
    <w:unhideWhenUsed/>
    <w:qFormat/>
    <w:uiPriority w:val="9"/>
    <w:pPr>
      <w:keepNext/>
      <w:keepLines/>
      <w:spacing w:before="280" w:after="290" w:line="376" w:lineRule="auto"/>
      <w:outlineLvl w:val="4"/>
    </w:pPr>
    <w:rPr>
      <w:b/>
      <w:bCs/>
      <w:sz w:val="28"/>
      <w:szCs w:val="28"/>
    </w:rPr>
  </w:style>
  <w:style w:type="character" w:default="1" w:styleId="11">
    <w:name w:val="Default Paragraph Font"/>
    <w:semiHidden/>
    <w:unhideWhenUsed/>
    <w:qFormat/>
    <w:uiPriority w:val="1"/>
  </w:style>
  <w:style w:type="table" w:default="1" w:styleId="12">
    <w:name w:val="Normal Table"/>
    <w:semiHidden/>
    <w:unhideWhenUsed/>
    <w:uiPriority w:val="99"/>
    <w:tblPr>
      <w:tblLayout w:type="fixed"/>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snapToGrid w:val="0"/>
      <w:spacing w:line="360" w:lineRule="auto"/>
      <w:ind w:firstLine="240" w:firstLineChars="100"/>
    </w:pPr>
    <w:rPr>
      <w:rFonts w:ascii="宋体"/>
      <w:sz w:val="24"/>
    </w:rPr>
  </w:style>
  <w:style w:type="paragraph" w:styleId="4">
    <w:name w:val="envelope return"/>
    <w:basedOn w:val="1"/>
    <w:qFormat/>
    <w:uiPriority w:val="0"/>
    <w:pPr>
      <w:snapToGrid w:val="0"/>
    </w:pPr>
    <w:rPr>
      <w:rFonts w:ascii="Arial" w:hAnsi="Arial"/>
    </w:rPr>
  </w:style>
  <w:style w:type="paragraph" w:styleId="8">
    <w:name w:val="Normal Indent"/>
    <w:basedOn w:val="1"/>
    <w:qFormat/>
    <w:uiPriority w:val="99"/>
    <w:pPr>
      <w:ind w:firstLine="420" w:firstLineChars="200"/>
    </w:pPr>
    <w:rPr>
      <w:rFonts w:ascii="Times New Roman" w:hAnsi="Times New Roman"/>
      <w:szCs w:val="24"/>
    </w:rPr>
  </w:style>
  <w:style w:type="paragraph" w:styleId="9">
    <w:name w:val="footer"/>
    <w:basedOn w:val="1"/>
    <w:link w:val="20"/>
    <w:unhideWhenUsed/>
    <w:uiPriority w:val="99"/>
    <w:pPr>
      <w:tabs>
        <w:tab w:val="center" w:pos="4153"/>
        <w:tab w:val="right" w:pos="8306"/>
      </w:tabs>
      <w:snapToGrid w:val="0"/>
      <w:jc w:val="left"/>
    </w:pPr>
    <w:rPr>
      <w:sz w:val="18"/>
      <w:szCs w:val="18"/>
    </w:rPr>
  </w:style>
  <w:style w:type="paragraph" w:styleId="10">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table" w:styleId="13">
    <w:name w:val="Table Grid"/>
    <w:basedOn w:val="12"/>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标题 1 Char"/>
    <w:basedOn w:val="11"/>
    <w:link w:val="5"/>
    <w:qFormat/>
    <w:uiPriority w:val="99"/>
    <w:rPr>
      <w:rFonts w:ascii="Calibri" w:hAnsi="Calibri" w:eastAsia="宋体" w:cs="Times New Roman"/>
      <w:b/>
      <w:bCs/>
      <w:kern w:val="44"/>
      <w:sz w:val="32"/>
      <w:szCs w:val="44"/>
    </w:rPr>
  </w:style>
  <w:style w:type="character" w:customStyle="1" w:styleId="15">
    <w:name w:val="标题 2 Char"/>
    <w:basedOn w:val="11"/>
    <w:link w:val="6"/>
    <w:qFormat/>
    <w:uiPriority w:val="99"/>
    <w:rPr>
      <w:rFonts w:ascii="Cambria" w:hAnsi="Cambria" w:eastAsia="宋体" w:cs="Times New Roman"/>
      <w:b/>
      <w:bCs/>
      <w:sz w:val="28"/>
      <w:szCs w:val="32"/>
    </w:rPr>
  </w:style>
  <w:style w:type="character" w:customStyle="1" w:styleId="16">
    <w:name w:val="标题 5 Char"/>
    <w:basedOn w:val="11"/>
    <w:link w:val="7"/>
    <w:uiPriority w:val="9"/>
    <w:rPr>
      <w:rFonts w:ascii="Calibri" w:hAnsi="Calibri" w:eastAsia="宋体" w:cs="Times New Roman"/>
      <w:b/>
      <w:bCs/>
      <w:sz w:val="28"/>
      <w:szCs w:val="28"/>
    </w:rPr>
  </w:style>
  <w:style w:type="paragraph" w:customStyle="1" w:styleId="17">
    <w:name w:val="_Style 2"/>
    <w:basedOn w:val="1"/>
    <w:qFormat/>
    <w:uiPriority w:val="34"/>
    <w:pPr>
      <w:ind w:left="720"/>
      <w:contextualSpacing/>
    </w:pPr>
    <w:rPr>
      <w:rFonts w:cs="Arial"/>
    </w:rPr>
  </w:style>
  <w:style w:type="paragraph" w:styleId="18">
    <w:name w:val="List Paragraph"/>
    <w:basedOn w:val="1"/>
    <w:qFormat/>
    <w:uiPriority w:val="34"/>
    <w:pPr>
      <w:ind w:firstLine="420" w:firstLineChars="200"/>
    </w:pPr>
  </w:style>
  <w:style w:type="character" w:customStyle="1" w:styleId="19">
    <w:name w:val="页眉 Char"/>
    <w:basedOn w:val="11"/>
    <w:link w:val="10"/>
    <w:uiPriority w:val="99"/>
    <w:rPr>
      <w:rFonts w:ascii="Calibri" w:hAnsi="Calibri" w:eastAsia="宋体" w:cs="Times New Roman"/>
      <w:sz w:val="18"/>
      <w:szCs w:val="18"/>
    </w:rPr>
  </w:style>
  <w:style w:type="character" w:customStyle="1" w:styleId="20">
    <w:name w:val="页脚 Char"/>
    <w:basedOn w:val="11"/>
    <w:link w:val="9"/>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429</Words>
  <Characters>2446</Characters>
  <Lines>20</Lines>
  <Paragraphs>5</Paragraphs>
  <TotalTime>3</TotalTime>
  <ScaleCrop>false</ScaleCrop>
  <LinksUpToDate>false</LinksUpToDate>
  <CharactersWithSpaces>2870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2021-07-20T09:54:00Z</dcterms:created>
  <dc:creator>GGFF</dc:creator>
  <cp:lastModifiedBy>gyb1</cp:lastModifiedBy>
  <dcterms:modified xsi:type="dcterms:W3CDTF">2021-07-22T00:53:45Z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931CFE0D051F4DCBA05B8F6F9C8FBD06</vt:lpwstr>
  </property>
</Properties>
</file>