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AF/SQ-02/1.0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</w:t>
      </w:r>
    </w:p>
    <w:p>
      <w:pPr>
        <w:pStyle w:val="8"/>
        <w:wordWrap w:val="0"/>
        <w:spacing w:before="312"/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Toc340417990"/>
      <w:r>
        <w:rPr>
          <w:rFonts w:hint="eastAsia" w:ascii="微软雅黑" w:hAnsi="微软雅黑" w:eastAsia="微软雅黑" w:cs="微软雅黑"/>
          <w:sz w:val="24"/>
          <w:szCs w:val="24"/>
        </w:rPr>
        <w:t>初始审查申请</w:t>
      </w:r>
      <w:bookmarkEnd w:id="0"/>
    </w:p>
    <w:tbl>
      <w:tblPr>
        <w:tblStyle w:val="5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1819"/>
        <w:gridCol w:w="2613"/>
        <w:gridCol w:w="16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525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项目批件号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知情同意书版本号</w:t>
            </w:r>
          </w:p>
        </w:tc>
        <w:tc>
          <w:tcPr>
            <w:tcW w:w="10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知情同意书版本日期</w:t>
            </w:r>
          </w:p>
        </w:tc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组长单位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组长单位主要研究者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参加单位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本院承担科室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475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本院主要研究者</w:t>
            </w:r>
          </w:p>
        </w:tc>
        <w:tc>
          <w:tcPr>
            <w:tcW w:w="35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</w:p>
    <w:p>
      <w:pPr>
        <w:topLinePunct/>
        <w:spacing w:line="500" w:lineRule="exact"/>
        <w:ind w:firstLine="480" w:firstLineChars="200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研究信息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方案设计类型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 实验性研究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 观察性研究：□回顾性分析，□前瞻性研究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研究信息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资金来源：□企业，□政府，□学术团体，□本单位，□自筹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数据与安全监察委员会：□有，□无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其它伦理委员会对该项目的否定性、提前中止的决定：□无，□有→请提交相关文件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研究需要使用人体生物标本：□否，□是→填写下列选项</w:t>
      </w:r>
    </w:p>
    <w:p>
      <w:pPr>
        <w:pStyle w:val="13"/>
        <w:numPr>
          <w:ilvl w:val="0"/>
          <w:numId w:val="2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采集生物标本：□是，□否</w:t>
      </w:r>
    </w:p>
    <w:p>
      <w:pPr>
        <w:pStyle w:val="13"/>
        <w:numPr>
          <w:ilvl w:val="0"/>
          <w:numId w:val="2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利用以往保存的生物标本：□是，□否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研究干预超出产品说明书范围，没有获得行政监管部门的批准：□是，□否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(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选择“是”，填写下列选项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)</w:t>
      </w:r>
    </w:p>
    <w:p>
      <w:pPr>
        <w:pStyle w:val="13"/>
        <w:numPr>
          <w:ilvl w:val="0"/>
          <w:numId w:val="3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研究结果是否用于注册或修改说明书：□是，□否</w:t>
      </w:r>
    </w:p>
    <w:p>
      <w:pPr>
        <w:pStyle w:val="13"/>
        <w:numPr>
          <w:ilvl w:val="0"/>
          <w:numId w:val="3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研究是否用于产品的广告：□是，□否</w:t>
      </w:r>
    </w:p>
    <w:p>
      <w:pPr>
        <w:pStyle w:val="13"/>
        <w:numPr>
          <w:ilvl w:val="0"/>
          <w:numId w:val="3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超出说明书使用该产品，是否显著增加了风险：□是，□否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医疗器械的类别：□Ⅰ类，□Ⅱ类，□Ⅲ类，□体外诊断试剂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招募受试者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谁负责招募：□医生，□研究者，□研究助理，□研究护士，□其它：</w:t>
      </w:r>
    </w:p>
    <w:p>
      <w:pPr>
        <w:pStyle w:val="13"/>
        <w:topLinePunct/>
        <w:spacing w:line="500" w:lineRule="exact"/>
        <w:ind w:left="1260" w:firstLine="0" w:firstLineChars="0"/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                                               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招募方式：□广告，□诊疗过程，□数据库，□中介，□其它：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i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招募人群特征：□健康者，□患者，□弱势群体，□孕妇</w:t>
      </w:r>
    </w:p>
    <w:p>
      <w:pPr>
        <w:pStyle w:val="13"/>
        <w:numPr>
          <w:ilvl w:val="0"/>
          <w:numId w:val="4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弱势群体的特征</w:t>
      </w:r>
      <w:r>
        <w:rPr>
          <w:rFonts w:hint="eastAsia" w:ascii="微软雅黑" w:hAnsi="微软雅黑" w:eastAsia="微软雅黑" w:cs="微软雅黑"/>
          <w:color w:val="000000"/>
          <w:szCs w:val="21"/>
        </w:rPr>
        <w:t>(</w:t>
      </w:r>
      <w:r>
        <w:rPr>
          <w:rFonts w:hint="eastAsia" w:ascii="微软雅黑" w:hAnsi="微软雅黑" w:eastAsia="微软雅黑" w:cs="微软雅黑"/>
          <w:color w:val="000000"/>
          <w:szCs w:val="21"/>
        </w:rPr>
        <w:t>选择弱势群体，填写选项</w:t>
      </w:r>
      <w:r>
        <w:rPr>
          <w:rFonts w:hint="eastAsia" w:ascii="微软雅黑" w:hAnsi="微软雅黑" w:eastAsia="微软雅黑" w:cs="微软雅黑"/>
          <w:color w:val="000000"/>
          <w:szCs w:val="21"/>
        </w:rPr>
        <w:t>)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：□儿童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未成年人，□认知障碍或健康状况而没有能力做出知情同意的成人，□申办者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研究者的雇员或学生，□教育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经济地位低下的人员，□疾病终末期患者，□囚犯或劳教人员，□其它：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           </w:t>
      </w:r>
    </w:p>
    <w:p>
      <w:pPr>
        <w:pStyle w:val="13"/>
        <w:numPr>
          <w:ilvl w:val="0"/>
          <w:numId w:val="4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知情同意能力的评估方式</w:t>
      </w:r>
      <w:r>
        <w:rPr>
          <w:rFonts w:hint="eastAsia" w:ascii="微软雅黑" w:hAnsi="微软雅黑" w:eastAsia="微软雅黑" w:cs="微软雅黑"/>
          <w:color w:val="000000"/>
          <w:szCs w:val="24"/>
        </w:rPr>
        <w:t>(</w:t>
      </w:r>
      <w:r>
        <w:rPr>
          <w:rFonts w:hint="eastAsia" w:ascii="微软雅黑" w:hAnsi="微软雅黑" w:eastAsia="微软雅黑" w:cs="微软雅黑"/>
          <w:color w:val="000000"/>
          <w:szCs w:val="24"/>
        </w:rPr>
        <w:t>选择弱势群体，填写该选项</w:t>
      </w:r>
      <w:r>
        <w:rPr>
          <w:rFonts w:hint="eastAsia" w:ascii="微软雅黑" w:hAnsi="微软雅黑" w:eastAsia="微软雅黑" w:cs="微软雅黑"/>
          <w:color w:val="000000"/>
          <w:szCs w:val="24"/>
        </w:rPr>
        <w:t>)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：□临床判断，□量表，□仪器</w:t>
      </w:r>
    </w:p>
    <w:p>
      <w:pPr>
        <w:pStyle w:val="13"/>
        <w:numPr>
          <w:ilvl w:val="0"/>
          <w:numId w:val="4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涉及孕妇研究的信息</w:t>
      </w:r>
      <w:r>
        <w:rPr>
          <w:rFonts w:hint="eastAsia" w:ascii="微软雅黑" w:hAnsi="微软雅黑" w:eastAsia="微软雅黑" w:cs="微软雅黑"/>
          <w:color w:val="000000"/>
          <w:szCs w:val="24"/>
        </w:rPr>
        <w:t>(</w:t>
      </w:r>
      <w:r>
        <w:rPr>
          <w:rFonts w:hint="eastAsia" w:ascii="微软雅黑" w:hAnsi="微软雅黑" w:eastAsia="微软雅黑" w:cs="微软雅黑"/>
          <w:color w:val="000000"/>
          <w:szCs w:val="24"/>
        </w:rPr>
        <w:t>选择孕妇，填写该选项</w:t>
      </w:r>
      <w:r>
        <w:rPr>
          <w:rFonts w:hint="eastAsia" w:ascii="微软雅黑" w:hAnsi="微软雅黑" w:eastAsia="微软雅黑" w:cs="微软雅黑"/>
          <w:color w:val="000000"/>
          <w:szCs w:val="24"/>
        </w:rPr>
        <w:t>)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：□没有通过经济利益引诱其中止妊娠，□研究人员不参与中止妊娠的决策，□研究人员不参与新生儿生存能力的判断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受试者报酬：□有，□无</w:t>
      </w:r>
    </w:p>
    <w:p>
      <w:pPr>
        <w:pStyle w:val="13"/>
        <w:numPr>
          <w:ilvl w:val="0"/>
          <w:numId w:val="5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报酬金额：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             </w:t>
      </w:r>
    </w:p>
    <w:p>
      <w:pPr>
        <w:pStyle w:val="13"/>
        <w:numPr>
          <w:ilvl w:val="0"/>
          <w:numId w:val="5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报酬支付方式：□按随访观察时点，分次支付，□按完成的随访观察工作量，一次性支付，□完成全部随访观察后支付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知情同意的过程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谁获取知情同意：□医生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研究者，□医生，□研究者，□研究护士，□研究助理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获取知情同意地点：□私密房间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受试者接待室，□诊室，□病房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知情同意签字：□受试者签字，□法定代理人签字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知情同意的例外：□否，□是→填写下列选项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□申请开展在紧急情况下无法获得知情同意的研究：</w:t>
      </w:r>
    </w:p>
    <w:p>
      <w:pPr>
        <w:pStyle w:val="13"/>
        <w:numPr>
          <w:ilvl w:val="0"/>
          <w:numId w:val="6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研究人群处于危及生命的紧急状况，需要在发病后很快进行干预。</w:t>
      </w:r>
    </w:p>
    <w:p>
      <w:pPr>
        <w:pStyle w:val="13"/>
        <w:numPr>
          <w:ilvl w:val="0"/>
          <w:numId w:val="6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在该紧急情况下，大部分病人无法给予知情同意，且没有时间找到法定代理人。</w:t>
      </w:r>
    </w:p>
    <w:p>
      <w:pPr>
        <w:pStyle w:val="13"/>
        <w:numPr>
          <w:ilvl w:val="0"/>
          <w:numId w:val="6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缺乏已被证实有效的治疗方法，而试验药物或干预有望挽救生命，恢复健康，或减轻病痛。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□申请免除知情同意·利用以往临床诊疗中获得的病历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生物标本的研究。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□申请免除知情同意·研究病历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生物标本的二次利用。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□申请免除知情同意签字·签了字的知情同意书会对受试者的隐私构成不正当的威胁，联系受试者真实身份和研究的唯一记录是知情同意文件，并且主要风险就来自于受试者身份或个人隐私的泄露。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□申请免除知情同意签字·研究对受试者的风险不大于最小风险，并且如果脱离“研究”背景，相同情况下的行为或程序不要求签署书面知情同意。如访谈研究，邮件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电话调查。</w:t>
      </w:r>
    </w:p>
    <w:p>
      <w:pPr>
        <w:topLinePunct/>
        <w:spacing w:line="500" w:lineRule="exact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 xml:space="preserve">    二、项目研究人员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主要研究者信息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主要研究者负责的在研项目数：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项</w:t>
      </w:r>
    </w:p>
    <w:p>
      <w:pPr>
        <w:pStyle w:val="13"/>
        <w:numPr>
          <w:ilvl w:val="1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主要研究者负责的在研项目中，与本项目的目标疾病相同的项目数：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项</w:t>
      </w:r>
    </w:p>
    <w:p>
      <w:pPr>
        <w:pStyle w:val="13"/>
        <w:numPr>
          <w:ilvl w:val="0"/>
          <w:numId w:val="1"/>
        </w:numPr>
        <w:topLinePunct/>
        <w:spacing w:line="500" w:lineRule="exact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项目研究人员列表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766"/>
        <w:gridCol w:w="1538"/>
        <w:gridCol w:w="1995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538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执业类别</w:t>
            </w:r>
          </w:p>
        </w:tc>
        <w:tc>
          <w:tcPr>
            <w:tcW w:w="1995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GCP培训（年）</w:t>
            </w:r>
          </w:p>
        </w:tc>
        <w:tc>
          <w:tcPr>
            <w:tcW w:w="1767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研究岗位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topLinePunct/>
        <w:spacing w:line="500" w:lineRule="exac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bookmarkStart w:id="1" w:name="_GoBack"/>
      <w:bookmarkEnd w:id="1"/>
    </w:p>
    <w:tbl>
      <w:tblPr>
        <w:tblStyle w:val="5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7"/>
        <w:gridCol w:w="2152"/>
        <w:gridCol w:w="2175"/>
        <w:gridCol w:w="21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申请人责任声明</w:t>
            </w:r>
          </w:p>
        </w:tc>
        <w:tc>
          <w:tcPr>
            <w:tcW w:w="3745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4"/>
              </w:rPr>
              <w:t>我将遵循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4"/>
              </w:rPr>
              <w:t>GCP</w:t>
            </w:r>
            <w:r>
              <w:rPr>
                <w:rFonts w:hint="eastAsia" w:ascii="微软雅黑" w:hAnsi="微软雅黑" w:eastAsia="微软雅黑" w:cs="微软雅黑"/>
                <w:color w:val="000000"/>
                <w:sz w:val="22"/>
                <w:szCs w:val="24"/>
              </w:rPr>
              <w:t>、方案以及伦理委员会的要求，开展本项临床研究。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4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25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opLinePunct/>
              <w:spacing w:line="50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6" w:h="16838"/>
      <w:pgMar w:top="1418" w:right="1418" w:bottom="1418" w:left="1418" w:header="851" w:footer="850" w:gutter="45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203717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5px" o:bullet="t">
        <v:imagedata r:id="rId1" o:title=""/>
      </v:shape>
    </w:pict>
  </w:numPicBullet>
  <w:numPicBullet w:numPicBulletId="1">
    <w:pict>
      <v:shape id="1" type="#_x0000_t75" style="width:15px;height:15px" o:bullet="t">
        <v:imagedata r:id="rId2" o:title=""/>
      </v:shape>
    </w:pict>
  </w:numPicBullet>
  <w:numPicBullet w:numPicBulletId="2">
    <w:pict>
      <v:shape id="2" type="#_x0000_t75" style="width:15px;height:15px" o:bullet="t">
        <v:imagedata r:id="rId3" o:title=""/>
      </v:shape>
    </w:pict>
  </w:numPicBullet>
  <w:numPicBullet w:numPicBulletId="3">
    <w:pict>
      <v:shape id="3" type="#_x0000_t75" style="width:15px;height:15px" o:bullet="t">
        <v:imagedata r:id="rId4" o:title=""/>
      </v:shape>
    </w:pict>
  </w:numPicBullet>
  <w:numPicBullet w:numPicBulletId="4">
    <w:pict>
      <v:shape id="4" type="#_x0000_t75" style="width:15px;height:15px" o:bullet="t">
        <v:imagedata r:id="rId5" o:title=""/>
      </v:shape>
    </w:pict>
  </w:numPicBullet>
  <w:abstractNum w:abstractNumId="0">
    <w:nsid w:val="1891201C"/>
    <w:multiLevelType w:val="multilevel"/>
    <w:tmpl w:val="1891201C"/>
    <w:lvl w:ilvl="0" w:tentative="0">
      <w:start w:val="1"/>
      <w:numFmt w:val="bullet"/>
      <w:lvlText w:val=""/>
      <w:lvlPicBulletId w:val="1"/>
      <w:lvlJc w:val="left"/>
      <w:pPr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</w:abstractNum>
  <w:abstractNum w:abstractNumId="1">
    <w:nsid w:val="34AA29E1"/>
    <w:multiLevelType w:val="multilevel"/>
    <w:tmpl w:val="34AA29E1"/>
    <w:lvl w:ilvl="0" w:tentative="0">
      <w:start w:val="1"/>
      <w:numFmt w:val="bullet"/>
      <w:lvlText w:val=""/>
      <w:lvlPicBulletId w:val="4"/>
      <w:lvlJc w:val="left"/>
      <w:pPr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</w:abstractNum>
  <w:abstractNum w:abstractNumId="2">
    <w:nsid w:val="37D81560"/>
    <w:multiLevelType w:val="multilevel"/>
    <w:tmpl w:val="37D81560"/>
    <w:lvl w:ilvl="0" w:tentative="0">
      <w:start w:val="1"/>
      <w:numFmt w:val="bullet"/>
      <w:lvlText w:val=""/>
      <w:lvlPicBulletId w:val="0"/>
      <w:lvlJc w:val="left"/>
      <w:pPr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</w:abstractNum>
  <w:abstractNum w:abstractNumId="3">
    <w:nsid w:val="44466E81"/>
    <w:multiLevelType w:val="multilevel"/>
    <w:tmpl w:val="44466E81"/>
    <w:lvl w:ilvl="0" w:tentative="0">
      <w:start w:val="1"/>
      <w:numFmt w:val="bullet"/>
      <w:lvlText w:val=""/>
      <w:lvlPicBulletId w:val="2"/>
      <w:lvlJc w:val="left"/>
      <w:pPr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</w:abstractNum>
  <w:abstractNum w:abstractNumId="4">
    <w:nsid w:val="449001E6"/>
    <w:multiLevelType w:val="multilevel"/>
    <w:tmpl w:val="449001E6"/>
    <w:lvl w:ilvl="0" w:tentative="0">
      <w:start w:val="1"/>
      <w:numFmt w:val="bullet"/>
      <w:lvlText w:val="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"/>
      <w:lvlJc w:val="left"/>
      <w:pPr>
        <w:ind w:left="1260" w:hanging="36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5">
    <w:nsid w:val="44983B8F"/>
    <w:multiLevelType w:val="multilevel"/>
    <w:tmpl w:val="44983B8F"/>
    <w:lvl w:ilvl="0" w:tentative="0">
      <w:start w:val="1"/>
      <w:numFmt w:val="bullet"/>
      <w:lvlText w:val=""/>
      <w:lvlPicBulletId w:val="3"/>
      <w:lvlJc w:val="left"/>
      <w:pPr>
        <w:ind w:left="16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65A05"/>
    <w:rsid w:val="00067870"/>
    <w:rsid w:val="003E6E67"/>
    <w:rsid w:val="005F2DA8"/>
    <w:rsid w:val="0064076E"/>
    <w:rsid w:val="007A384E"/>
    <w:rsid w:val="0082321D"/>
    <w:rsid w:val="00831C59"/>
    <w:rsid w:val="00A008E2"/>
    <w:rsid w:val="00A37C0A"/>
    <w:rsid w:val="00A62C64"/>
    <w:rsid w:val="00AE0F5D"/>
    <w:rsid w:val="00B339B6"/>
    <w:rsid w:val="00C02590"/>
    <w:rsid w:val="00D02A11"/>
    <w:rsid w:val="00E00CFB"/>
    <w:rsid w:val="00E06949"/>
    <w:rsid w:val="00F529B7"/>
    <w:rsid w:val="4B1239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样式 标题 3 + 段前: 1 行1"/>
    <w:basedOn w:val="2"/>
    <w:qFormat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paragraph" w:customStyle="1" w:styleId="9">
    <w:name w:val="样式 样式 标题4 + Times New Roman 左侧:  2 字符 + 左侧:  2 字符"/>
    <w:basedOn w:val="1"/>
    <w:uiPriority w:val="0"/>
    <w:pPr>
      <w:keepNext/>
      <w:keepLines/>
      <w:topLinePunct/>
      <w:spacing w:line="360" w:lineRule="auto"/>
      <w:ind w:left="200" w:leftChars="200"/>
      <w:outlineLvl w:val="3"/>
    </w:pPr>
    <w:rPr>
      <w:rFonts w:ascii="Times New Roman" w:hAnsi="Times New Roman" w:eastAsia="黑体" w:cs="宋体"/>
      <w:b/>
      <w:bCs/>
      <w:kern w:val="0"/>
      <w:sz w:val="28"/>
      <w:szCs w:val="20"/>
    </w:rPr>
  </w:style>
  <w:style w:type="character" w:customStyle="1" w:styleId="10">
    <w:name w:val="标题 3 Char"/>
    <w:basedOn w:val="7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11">
    <w:name w:val="页眉 Char"/>
    <w:basedOn w:val="7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236</Words>
  <Characters>1348</Characters>
  <Lines>11</Lines>
  <Paragraphs>3</Paragraphs>
  <TotalTime>20</TotalTime>
  <ScaleCrop>false</ScaleCrop>
  <LinksUpToDate>false</LinksUpToDate>
  <CharactersWithSpaces>1581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2021-10-30T00:58:09Z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D137A791DA404D759884BA5E991A520D</vt:lpwstr>
  </property>
</Properties>
</file>